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3" w:rsidRDefault="00E445B3" w:rsidP="0041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5B3">
        <w:rPr>
          <w:noProof/>
          <w:sz w:val="28"/>
          <w:szCs w:val="28"/>
          <w:lang w:eastAsia="zh-CN"/>
        </w:rPr>
        <w:drawing>
          <wp:inline distT="0" distB="0" distL="0" distR="0" wp14:anchorId="379B6F71" wp14:editId="610F22A2">
            <wp:extent cx="1666875" cy="1666875"/>
            <wp:effectExtent l="0" t="0" r="0" b="0"/>
            <wp:docPr id="1" name="Picture 0" descr="Shield_BellarmineU_Horizontal_InVerita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eld_BellarmineU_Horizontal_InVeritati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196" cy="167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1B49" w:rsidRPr="00851176" w:rsidRDefault="00C22D57" w:rsidP="00415364">
      <w:pPr>
        <w:jc w:val="center"/>
        <w:rPr>
          <w:sz w:val="32"/>
          <w:szCs w:val="32"/>
        </w:rPr>
      </w:pPr>
      <w:r w:rsidRPr="00851176">
        <w:rPr>
          <w:rFonts w:cs="Times New Roman"/>
          <w:b/>
          <w:sz w:val="32"/>
          <w:szCs w:val="32"/>
        </w:rPr>
        <w:t xml:space="preserve">Accelerated Second Degree </w:t>
      </w:r>
      <w:r w:rsidR="00A41B49" w:rsidRPr="00851176">
        <w:rPr>
          <w:rFonts w:cs="Times New Roman"/>
          <w:b/>
          <w:sz w:val="32"/>
          <w:szCs w:val="32"/>
        </w:rPr>
        <w:t>Funding Opportunities</w:t>
      </w:r>
      <w:r w:rsidR="00851176">
        <w:rPr>
          <w:rFonts w:cs="Times New Roman"/>
          <w:b/>
          <w:sz w:val="32"/>
          <w:szCs w:val="32"/>
        </w:rPr>
        <w:br/>
      </w:r>
      <w:bookmarkStart w:id="0" w:name="_GoBack"/>
      <w:bookmarkEnd w:id="0"/>
    </w:p>
    <w:p w:rsidR="00851176" w:rsidRPr="00851176" w:rsidRDefault="00851176" w:rsidP="00851176">
      <w:pPr>
        <w:tabs>
          <w:tab w:val="left" w:pos="2415"/>
        </w:tabs>
        <w:rPr>
          <w:rFonts w:eastAsiaTheme="minorEastAsia"/>
          <w:b/>
          <w:sz w:val="20"/>
          <w:szCs w:val="20"/>
          <w:lang w:eastAsia="zh-CN"/>
        </w:rPr>
      </w:pPr>
      <w:r w:rsidRPr="00851176">
        <w:rPr>
          <w:rFonts w:eastAsiaTheme="minorEastAsia"/>
          <w:b/>
          <w:sz w:val="20"/>
          <w:szCs w:val="20"/>
          <w:u w:val="single"/>
          <w:lang w:eastAsia="zh-CN"/>
        </w:rPr>
        <w:t>Am I eligible for financial aid as a second degree student?</w:t>
      </w:r>
    </w:p>
    <w:p w:rsidR="00851176" w:rsidRPr="00851176" w:rsidRDefault="00851176" w:rsidP="00851176">
      <w:pPr>
        <w:spacing w:after="0"/>
        <w:rPr>
          <w:rFonts w:eastAsiaTheme="minorEastAsia"/>
          <w:sz w:val="20"/>
          <w:szCs w:val="20"/>
          <w:lang w:eastAsia="zh-CN"/>
        </w:rPr>
      </w:pPr>
      <w:r w:rsidRPr="00851176">
        <w:rPr>
          <w:rFonts w:eastAsiaTheme="minorEastAsia"/>
          <w:sz w:val="20"/>
          <w:szCs w:val="20"/>
          <w:lang w:eastAsia="zh-CN"/>
        </w:rPr>
        <w:t xml:space="preserve">Yes, you are eligible for the Federal Stafford Loan Program if you are admitted to a degree-seeking program and enrolled at least half-time (six credit hours per semester).  </w:t>
      </w:r>
      <w:r>
        <w:rPr>
          <w:rFonts w:eastAsiaTheme="minorEastAsia"/>
          <w:sz w:val="20"/>
          <w:szCs w:val="20"/>
          <w:lang w:eastAsia="zh-CN"/>
        </w:rPr>
        <w:br/>
      </w:r>
      <w:r>
        <w:rPr>
          <w:rFonts w:eastAsiaTheme="minorEastAsia"/>
          <w:sz w:val="20"/>
          <w:szCs w:val="20"/>
          <w:lang w:eastAsia="zh-CN"/>
        </w:rPr>
        <w:br/>
      </w:r>
      <w:r w:rsidRPr="00851176">
        <w:rPr>
          <w:rFonts w:eastAsiaTheme="minorEastAsia"/>
          <w:sz w:val="20"/>
          <w:szCs w:val="20"/>
          <w:lang w:eastAsia="zh-CN"/>
        </w:rPr>
        <w:t>Students who have already earned a BA/ BS are not eligible for grant programs such as the Pell Grant</w:t>
      </w:r>
      <w:r>
        <w:rPr>
          <w:rFonts w:eastAsiaTheme="minorEastAsia"/>
          <w:sz w:val="20"/>
          <w:szCs w:val="20"/>
          <w:lang w:eastAsia="zh-CN"/>
        </w:rPr>
        <w:t>.</w:t>
      </w:r>
    </w:p>
    <w:p w:rsidR="00A41B49" w:rsidRPr="00851176" w:rsidRDefault="00A41B49" w:rsidP="00C22D57">
      <w:pPr>
        <w:tabs>
          <w:tab w:val="left" w:pos="3957"/>
        </w:tabs>
        <w:spacing w:after="0"/>
        <w:jc w:val="center"/>
        <w:rPr>
          <w:rFonts w:cs="Times New Roman"/>
          <w:sz w:val="20"/>
          <w:szCs w:val="20"/>
        </w:rPr>
      </w:pPr>
    </w:p>
    <w:p w:rsidR="00851176" w:rsidRPr="00851176" w:rsidRDefault="00851176" w:rsidP="00851176">
      <w:pPr>
        <w:spacing w:after="0"/>
        <w:rPr>
          <w:rFonts w:eastAsiaTheme="minorEastAsia"/>
          <w:b/>
          <w:sz w:val="20"/>
          <w:szCs w:val="20"/>
          <w:u w:val="single"/>
          <w:lang w:eastAsia="zh-CN"/>
        </w:rPr>
      </w:pPr>
      <w:r w:rsidRPr="00851176">
        <w:rPr>
          <w:rFonts w:eastAsiaTheme="minorEastAsia"/>
          <w:b/>
          <w:sz w:val="20"/>
          <w:szCs w:val="20"/>
          <w:u w:val="single"/>
          <w:lang w:eastAsia="zh-CN"/>
        </w:rPr>
        <w:t>How much money may I borrow in the Federal Stafford Loan Program?</w:t>
      </w:r>
    </w:p>
    <w:p w:rsidR="00851176" w:rsidRPr="00851176" w:rsidRDefault="00851176" w:rsidP="00851176">
      <w:pPr>
        <w:spacing w:after="0"/>
        <w:rPr>
          <w:rFonts w:eastAsiaTheme="minorEastAsia"/>
          <w:sz w:val="20"/>
          <w:szCs w:val="20"/>
          <w:u w:val="single"/>
          <w:lang w:eastAsia="zh-CN"/>
        </w:rPr>
      </w:pPr>
    </w:p>
    <w:p w:rsidR="00851176" w:rsidRPr="00851176" w:rsidRDefault="00851176" w:rsidP="00851176">
      <w:pPr>
        <w:pStyle w:val="NoSpacing"/>
        <w:rPr>
          <w:sz w:val="20"/>
          <w:szCs w:val="20"/>
        </w:rPr>
      </w:pPr>
      <w:r w:rsidRPr="00851176">
        <w:rPr>
          <w:sz w:val="20"/>
          <w:szCs w:val="20"/>
          <w:u w:val="single"/>
        </w:rPr>
        <w:t>Independent second degree students</w:t>
      </w:r>
      <w:r w:rsidRPr="00851176">
        <w:rPr>
          <w:b/>
          <w:sz w:val="20"/>
          <w:szCs w:val="20"/>
          <w:u w:val="single"/>
        </w:rPr>
        <w:t xml:space="preserve"> </w:t>
      </w:r>
      <w:r w:rsidRPr="00851176">
        <w:rPr>
          <w:sz w:val="20"/>
          <w:szCs w:val="20"/>
        </w:rPr>
        <w:t xml:space="preserve">are eligible to borrow up to $12,500 each academic year for tuition and related expenses.   </w:t>
      </w:r>
    </w:p>
    <w:p w:rsidR="00851176" w:rsidRPr="00851176" w:rsidRDefault="00851176" w:rsidP="00851176">
      <w:pPr>
        <w:pStyle w:val="NoSpacing"/>
        <w:rPr>
          <w:b/>
          <w:sz w:val="20"/>
          <w:szCs w:val="20"/>
          <w:u w:val="single"/>
        </w:rPr>
      </w:pPr>
      <w:r w:rsidRPr="00851176">
        <w:rPr>
          <w:sz w:val="20"/>
          <w:szCs w:val="20"/>
          <w:u w:val="single"/>
        </w:rPr>
        <w:t>Dependent second degree students</w:t>
      </w:r>
      <w:r w:rsidRPr="00851176">
        <w:rPr>
          <w:sz w:val="20"/>
          <w:szCs w:val="20"/>
        </w:rPr>
        <w:t xml:space="preserve"> are eligible to borrow up to $7,500 each academic year for </w:t>
      </w:r>
      <w:r w:rsidRPr="00851176">
        <w:rPr>
          <w:sz w:val="20"/>
          <w:szCs w:val="20"/>
        </w:rPr>
        <w:t xml:space="preserve">tuition and related expenses.  </w:t>
      </w:r>
      <w:r w:rsidRPr="00851176">
        <w:rPr>
          <w:sz w:val="20"/>
          <w:szCs w:val="20"/>
        </w:rPr>
        <w:t xml:space="preserve">  </w:t>
      </w:r>
      <w:r w:rsidRPr="00851176">
        <w:rPr>
          <w:sz w:val="20"/>
          <w:szCs w:val="20"/>
        </w:rPr>
        <w:br/>
      </w:r>
      <w:r w:rsidRPr="00851176">
        <w:rPr>
          <w:sz w:val="20"/>
          <w:szCs w:val="20"/>
        </w:rPr>
        <w:br/>
        <w:t xml:space="preserve">Independent students are at least 24 years old, are married, or have a child. Dependent students are younger than 24, are not married or do not have a child. </w:t>
      </w:r>
      <w:r w:rsidRPr="00851176">
        <w:rPr>
          <w:sz w:val="20"/>
          <w:szCs w:val="20"/>
        </w:rPr>
        <w:br/>
      </w:r>
      <w:r w:rsidRPr="00851176">
        <w:rPr>
          <w:sz w:val="20"/>
          <w:szCs w:val="20"/>
        </w:rPr>
        <w:br/>
      </w:r>
      <w:r w:rsidRPr="00851176">
        <w:rPr>
          <w:b/>
          <w:sz w:val="20"/>
          <w:szCs w:val="20"/>
          <w:u w:val="single"/>
        </w:rPr>
        <w:t>Are there other funding sources such as private loans or hospital work agreements?</w:t>
      </w:r>
    </w:p>
    <w:p w:rsidR="00851176" w:rsidRPr="00851176" w:rsidRDefault="00851176" w:rsidP="00851176">
      <w:pPr>
        <w:pStyle w:val="NoSpacing"/>
        <w:rPr>
          <w:sz w:val="20"/>
          <w:szCs w:val="20"/>
        </w:rPr>
      </w:pPr>
    </w:p>
    <w:p w:rsidR="00851176" w:rsidRPr="00851176" w:rsidRDefault="00851176" w:rsidP="00851176">
      <w:pPr>
        <w:pStyle w:val="NoSpacing"/>
        <w:rPr>
          <w:sz w:val="20"/>
          <w:szCs w:val="20"/>
        </w:rPr>
      </w:pPr>
      <w:r w:rsidRPr="00851176">
        <w:rPr>
          <w:b/>
          <w:sz w:val="20"/>
          <w:szCs w:val="20"/>
          <w:u w:val="single"/>
        </w:rPr>
        <w:t>Alternative Loans</w:t>
      </w:r>
      <w:r w:rsidRPr="00851176">
        <w:rPr>
          <w:sz w:val="20"/>
          <w:szCs w:val="20"/>
        </w:rPr>
        <w:t xml:space="preserve">:  You can also apply for alternative loans. Alternative loans have a slightly higher interest rate than the federal loans and are based on credit worthiness. Students can borrow up to the cost of attendance in alternative loans.  Visit the </w:t>
      </w:r>
      <w:proofErr w:type="spellStart"/>
      <w:r w:rsidRPr="00851176">
        <w:rPr>
          <w:sz w:val="20"/>
          <w:szCs w:val="20"/>
        </w:rPr>
        <w:t>Bellarmine</w:t>
      </w:r>
      <w:proofErr w:type="spellEnd"/>
      <w:r w:rsidRPr="00851176">
        <w:rPr>
          <w:sz w:val="20"/>
          <w:szCs w:val="20"/>
        </w:rPr>
        <w:t xml:space="preserve"> Financial Aid website at www.bellarmine.edu/</w:t>
      </w:r>
      <w:proofErr w:type="gramStart"/>
      <w:r w:rsidRPr="00851176">
        <w:rPr>
          <w:sz w:val="20"/>
          <w:szCs w:val="20"/>
        </w:rPr>
        <w:t>financialaid  for</w:t>
      </w:r>
      <w:proofErr w:type="gramEnd"/>
      <w:r w:rsidRPr="00851176">
        <w:rPr>
          <w:sz w:val="20"/>
          <w:szCs w:val="20"/>
        </w:rPr>
        <w:t xml:space="preserve"> information about applying for alternative loans.</w:t>
      </w:r>
      <w:r w:rsidRPr="00851176">
        <w:rPr>
          <w:sz w:val="20"/>
          <w:szCs w:val="20"/>
        </w:rPr>
        <w:br/>
      </w:r>
      <w:r w:rsidRPr="00851176">
        <w:rPr>
          <w:sz w:val="20"/>
          <w:szCs w:val="20"/>
        </w:rPr>
        <w:br/>
      </w:r>
      <w:r w:rsidRPr="00851176">
        <w:rPr>
          <w:b/>
          <w:sz w:val="20"/>
          <w:szCs w:val="20"/>
          <w:u w:val="single"/>
        </w:rPr>
        <w:t>Parent PLUS Loans</w:t>
      </w:r>
      <w:r w:rsidRPr="00851176">
        <w:rPr>
          <w:b/>
          <w:sz w:val="20"/>
          <w:szCs w:val="20"/>
        </w:rPr>
        <w:t xml:space="preserve">: </w:t>
      </w:r>
      <w:r w:rsidRPr="00851176">
        <w:rPr>
          <w:sz w:val="20"/>
          <w:szCs w:val="20"/>
        </w:rPr>
        <w:t>Dependent students pursuing a second bachelor’s degree may be eligible for Parent PLUS loans.</w:t>
      </w:r>
      <w:r w:rsidRPr="00851176">
        <w:rPr>
          <w:sz w:val="20"/>
          <w:szCs w:val="20"/>
        </w:rPr>
        <w:br/>
      </w:r>
    </w:p>
    <w:p w:rsidR="00851176" w:rsidRDefault="00851176" w:rsidP="00851176">
      <w:pPr>
        <w:pStyle w:val="NoSpacing"/>
        <w:rPr>
          <w:sz w:val="20"/>
          <w:szCs w:val="20"/>
        </w:rPr>
      </w:pPr>
      <w:r w:rsidRPr="00851176">
        <w:rPr>
          <w:b/>
          <w:sz w:val="20"/>
          <w:szCs w:val="20"/>
          <w:u w:val="single"/>
        </w:rPr>
        <w:t>Hospital Assistance</w:t>
      </w:r>
      <w:r w:rsidRPr="00851176">
        <w:rPr>
          <w:sz w:val="20"/>
          <w:szCs w:val="20"/>
        </w:rPr>
        <w:t>:  Some hospitals offer scholarship-to-work opportunities that will help you finance your nursing education. Visit your local hospitals’ website(s) to learn about opportunities in your area.</w:t>
      </w:r>
      <w:r w:rsidRPr="00851176">
        <w:rPr>
          <w:sz w:val="20"/>
          <w:szCs w:val="20"/>
        </w:rPr>
        <w:t xml:space="preserve">  </w:t>
      </w:r>
      <w:r w:rsidRPr="00851176">
        <w:rPr>
          <w:sz w:val="20"/>
          <w:szCs w:val="20"/>
        </w:rPr>
        <w:t xml:space="preserve">These </w:t>
      </w:r>
      <w:r>
        <w:rPr>
          <w:sz w:val="20"/>
          <w:szCs w:val="20"/>
        </w:rPr>
        <w:t xml:space="preserve">scholarship </w:t>
      </w:r>
      <w:r w:rsidRPr="00851176">
        <w:rPr>
          <w:sz w:val="20"/>
          <w:szCs w:val="20"/>
        </w:rPr>
        <w:t xml:space="preserve">programs are typically managed by the Human Resources or Workforce Development Offices.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851176">
        <w:rPr>
          <w:sz w:val="20"/>
          <w:szCs w:val="20"/>
        </w:rPr>
        <w:t xml:space="preserve">Louisville area residents should review the following websites: Norton Healthcare, Baptist Health, Kentucky One Health, Clark Memorial Hospital and Floyd Memorial Hospital.  </w:t>
      </w:r>
    </w:p>
    <w:p w:rsidR="00851176" w:rsidRPr="00851176" w:rsidRDefault="00851176" w:rsidP="00851176">
      <w:pPr>
        <w:pStyle w:val="NoSpacing"/>
        <w:rPr>
          <w:sz w:val="20"/>
          <w:szCs w:val="20"/>
        </w:rPr>
      </w:pPr>
      <w:r w:rsidRPr="00851176">
        <w:rPr>
          <w:sz w:val="20"/>
          <w:szCs w:val="20"/>
        </w:rPr>
        <w:br/>
      </w:r>
      <w:r w:rsidRPr="00851176">
        <w:rPr>
          <w:b/>
          <w:sz w:val="20"/>
          <w:szCs w:val="20"/>
          <w:u w:val="single"/>
        </w:rPr>
        <w:t>Military Opportunities</w:t>
      </w:r>
      <w:r w:rsidRPr="00851176">
        <w:rPr>
          <w:sz w:val="20"/>
          <w:szCs w:val="20"/>
        </w:rPr>
        <w:t>:  All branches of the military offer some funding opportunities for nursing.  Contact the local recruiting office for the military branch of your choice.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sectPr w:rsidR="00851176" w:rsidRPr="00851176" w:rsidSect="002F5F00">
      <w:pgSz w:w="12240" w:h="15840"/>
      <w:pgMar w:top="9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BDA" w:rsidRDefault="009F2BDA" w:rsidP="00A41B49">
      <w:pPr>
        <w:spacing w:after="0"/>
      </w:pPr>
      <w:r>
        <w:separator/>
      </w:r>
    </w:p>
  </w:endnote>
  <w:endnote w:type="continuationSeparator" w:id="0">
    <w:p w:rsidR="009F2BDA" w:rsidRDefault="009F2BDA" w:rsidP="00A41B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BDA" w:rsidRDefault="009F2BDA" w:rsidP="00A41B49">
      <w:pPr>
        <w:spacing w:after="0"/>
      </w:pPr>
      <w:r>
        <w:separator/>
      </w:r>
    </w:p>
  </w:footnote>
  <w:footnote w:type="continuationSeparator" w:id="0">
    <w:p w:rsidR="009F2BDA" w:rsidRDefault="009F2BDA" w:rsidP="00A41B4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B49"/>
    <w:rsid w:val="000251CB"/>
    <w:rsid w:val="001757D2"/>
    <w:rsid w:val="00227C25"/>
    <w:rsid w:val="002F5F00"/>
    <w:rsid w:val="00415364"/>
    <w:rsid w:val="00472F5D"/>
    <w:rsid w:val="005C02D5"/>
    <w:rsid w:val="00686181"/>
    <w:rsid w:val="008051D1"/>
    <w:rsid w:val="00851176"/>
    <w:rsid w:val="008F4355"/>
    <w:rsid w:val="009C708B"/>
    <w:rsid w:val="009D60EB"/>
    <w:rsid w:val="009F2BDA"/>
    <w:rsid w:val="00A32CD1"/>
    <w:rsid w:val="00A41B49"/>
    <w:rsid w:val="00BB38D9"/>
    <w:rsid w:val="00C22D57"/>
    <w:rsid w:val="00E445B3"/>
    <w:rsid w:val="00EC0EFA"/>
    <w:rsid w:val="00EE0024"/>
    <w:rsid w:val="00E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1B4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B49"/>
  </w:style>
  <w:style w:type="paragraph" w:styleId="Footer">
    <w:name w:val="footer"/>
    <w:basedOn w:val="Normal"/>
    <w:link w:val="FooterChar"/>
    <w:uiPriority w:val="99"/>
    <w:semiHidden/>
    <w:unhideWhenUsed/>
    <w:rsid w:val="00A41B4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B49"/>
  </w:style>
  <w:style w:type="character" w:styleId="Hyperlink">
    <w:name w:val="Hyperlink"/>
    <w:basedOn w:val="DefaultParagraphFont"/>
    <w:rsid w:val="00A41B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B4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1176"/>
    <w:pPr>
      <w:spacing w:after="0"/>
    </w:pPr>
    <w:rPr>
      <w:rFonts w:eastAsiaTheme="minorEastAsi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jarmstrong-binnix</dc:creator>
  <cp:keywords/>
  <dc:description/>
  <cp:lastModifiedBy>jarmstrong-binnix</cp:lastModifiedBy>
  <cp:revision>7</cp:revision>
  <cp:lastPrinted>2012-02-03T21:15:00Z</cp:lastPrinted>
  <dcterms:created xsi:type="dcterms:W3CDTF">2010-06-25T11:47:00Z</dcterms:created>
  <dcterms:modified xsi:type="dcterms:W3CDTF">2014-08-15T19:28:00Z</dcterms:modified>
</cp:coreProperties>
</file>