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B097B" w14:textId="77777777" w:rsidR="003E06C4" w:rsidRDefault="003E06C4" w:rsidP="003E06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Georgia" w:hAnsi="Georgia" w:cs="Segoe UI"/>
          <w:color w:val="2E74B5"/>
          <w:sz w:val="31"/>
          <w:szCs w:val="31"/>
        </w:rPr>
        <w:t>Demonstration Lectures</w:t>
      </w:r>
      <w:r>
        <w:rPr>
          <w:rStyle w:val="eop"/>
          <w:rFonts w:ascii="Georgia" w:hAnsi="Georgia" w:cs="Segoe UI"/>
          <w:color w:val="2E74B5"/>
          <w:sz w:val="31"/>
          <w:szCs w:val="31"/>
        </w:rPr>
        <w:t> </w:t>
      </w:r>
    </w:p>
    <w:p w14:paraId="6BF792FD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3CEF5EA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bookmarkStart w:id="0" w:name="_GoBack"/>
      <w:bookmarkEnd w:id="0"/>
      <w:r>
        <w:rPr>
          <w:rStyle w:val="normaltextrun"/>
          <w:rFonts w:ascii="Calibri" w:hAnsi="Calibri" w:cs="Segoe UI"/>
          <w:sz w:val="22"/>
          <w:szCs w:val="22"/>
        </w:rPr>
        <w:t xml:space="preserve">This style of lecturing is frequently used in science, technology, engineering, and math. The professor illustrates how to complete a task while explaining concepts and theories. Demonstrations can be live, videos, and/or simulated. After the demonstration, students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are often provided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with the opportunity to apply what is learned to either a situation or problem. Balch (2014) found that students who viewed a demonstration outperformed students that listened to a lecture only. Neurons in the brain known as visual</w:t>
      </w:r>
      <w:r>
        <w:rPr>
          <w:rStyle w:val="normaltextrun"/>
          <w:rFonts w:ascii="Arial" w:hAnsi="Arial" w:cs="Arial"/>
          <w:sz w:val="22"/>
          <w:szCs w:val="22"/>
        </w:rPr>
        <w:t>-</w:t>
      </w:r>
      <w:r>
        <w:rPr>
          <w:rStyle w:val="normaltextrun"/>
          <w:rFonts w:ascii="Calibri" w:hAnsi="Calibri" w:cs="Segoe UI"/>
          <w:sz w:val="22"/>
          <w:szCs w:val="22"/>
        </w:rPr>
        <w:t xml:space="preserve">motor neurons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are activated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when we observe someone else performing, particularly if we visualize ourselves performing the same task. This allows us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to mentally rehearse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the skill. Learning and engagement are high in demonstration lectures because students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are provided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with context for the knowledge being taught and are often asked to explore solving problems.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5BCCB2F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6CB6DE4" w14:textId="77777777" w:rsidR="003E06C4" w:rsidRDefault="003E06C4" w:rsidP="003E06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54396ED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D01C66E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2E74B5"/>
          <w:sz w:val="26"/>
          <w:szCs w:val="26"/>
        </w:rPr>
        <w:t>Quick Tips for Using the Demonstration Lecture</w:t>
      </w:r>
      <w:r>
        <w:rPr>
          <w:rStyle w:val="eop"/>
          <w:rFonts w:ascii="Calibri Light" w:hAnsi="Calibri Light" w:cs="Segoe UI"/>
          <w:color w:val="2E74B5"/>
          <w:sz w:val="26"/>
          <w:szCs w:val="26"/>
        </w:rPr>
        <w:t> </w:t>
      </w:r>
    </w:p>
    <w:p w14:paraId="48265CFA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1. Giving a demonstration involves the students hearing and seeing the content. This greatly increases student learning from hearing or seeing alone. Ensure that you talk through a demonstration, or chose a video that does that same.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2C9B5C5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2. To enhance learning even more, follow a demonstration by having students perform and apply the new knowledge as soon as possible.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F4EFCF8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3. Demonstrations come in a variety of forms. We often think of demonstrating a skill such as taking blood pressure or staining a blood smear. However, demonstrations can be working out a math problem on a board, rationalizing a problem aloud to demonstrate thought process, student presentations, a scientific experiment, models, and even pointing to parts of a diagram.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44B64A0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4. If a demonstration goes wrong, learning can still be successful!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Learning through demonstration is accomplished by the student modeling what was observed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. If the demonstrator encounters a problem during the demonstration, students will also learn the coping mechanisms observed, which can be used to problem solve later.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B603740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2E74B5"/>
          <w:sz w:val="26"/>
          <w:szCs w:val="26"/>
        </w:rPr>
        <w:t>Learn more</w:t>
      </w:r>
      <w:r>
        <w:rPr>
          <w:rStyle w:val="eop"/>
          <w:rFonts w:ascii="Calibri Light" w:hAnsi="Calibri Light" w:cs="Segoe UI"/>
          <w:color w:val="2E74B5"/>
          <w:sz w:val="26"/>
          <w:szCs w:val="26"/>
        </w:rPr>
        <w:t> </w:t>
      </w:r>
    </w:p>
    <w:p w14:paraId="75346604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For more tips visit: </w:t>
      </w:r>
      <w:hyperlink r:id="rId4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https://en.wikipedia.org/wiki/Observational_learning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763AAA80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Observational Learning and Social Learning Theory: </w:t>
      </w:r>
      <w:hyperlink r:id="rId5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https://youtu.be/2Cptzo3-sHI</w:t>
        </w:r>
      </w:hyperlink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3ABE4DD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Balch, W.R. (2014). A referential communication demonstration versus a lecture-only control: Learning benefits.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Teaching of Psychology</w:t>
      </w:r>
      <w:r>
        <w:rPr>
          <w:rStyle w:val="normaltextrun"/>
          <w:rFonts w:ascii="Calibri" w:hAnsi="Calibri" w:cs="Segoe UI"/>
          <w:sz w:val="22"/>
          <w:szCs w:val="22"/>
        </w:rPr>
        <w:t>, 41, 213-219.</w:t>
      </w:r>
      <w:r>
        <w:rPr>
          <w:rStyle w:val="scxw1509924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Bandura, A. (2014) Observational Learning.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Learning and Memory</w:t>
      </w:r>
      <w:r>
        <w:rPr>
          <w:rStyle w:val="normaltextrun"/>
          <w:rFonts w:ascii="Calibri" w:hAnsi="Calibri" w:cs="Segoe UI"/>
          <w:sz w:val="22"/>
          <w:szCs w:val="22"/>
        </w:rPr>
        <w:t xml:space="preserve">. Ed. John H. Byrne. 2nd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ed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. New York: NY. Macmillan Reference USA, 2004. 482-484. Gale Virtual Reference Library.  Document URL </w:t>
      </w:r>
      <w:hyperlink r:id="rId6" w:tgtFrame="_blank" w:history="1">
        <w:r>
          <w:rPr>
            <w:rStyle w:val="normaltextrun"/>
            <w:rFonts w:ascii="Calibri" w:hAnsi="Calibri" w:cs="Segoe UI"/>
            <w:color w:val="0000FF"/>
            <w:sz w:val="22"/>
            <w:szCs w:val="22"/>
            <w:u w:val="single"/>
          </w:rPr>
          <w:t>http://go.galegroup.com/ps/i.do?id=GALE%7CCX3407100173&amp;v=2.1&amp;u=cuny_hunter&amp;it=r&amp;p=GVRL&amp;sw=w&amp;asid=06f2484b425a0c9f9606dff1b2a86c18</w:t>
        </w:r>
        <w:r>
          <w:rPr>
            <w:rStyle w:val="scxw1509924"/>
            <w:rFonts w:ascii="Calibri" w:hAnsi="Calibri" w:cs="Segoe UI"/>
            <w:color w:val="0000FF"/>
            <w:sz w:val="22"/>
            <w:szCs w:val="22"/>
          </w:rPr>
          <w:t> </w:t>
        </w:r>
        <w:r>
          <w:rPr>
            <w:rFonts w:ascii="Calibri" w:hAnsi="Calibri" w:cs="Segoe UI"/>
            <w:color w:val="0000FF"/>
            <w:sz w:val="22"/>
            <w:szCs w:val="22"/>
          </w:rPr>
          <w:br/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3477CF92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Harrington, C. &amp;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Zakrajsek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T. (2017).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Dynamic Lecturing: Research-based strategies to enhance lecture effectiveness</w:t>
      </w:r>
      <w:r>
        <w:rPr>
          <w:rStyle w:val="normaltextrun"/>
          <w:rFonts w:ascii="Calibri" w:hAnsi="Calibri" w:cs="Segoe UI"/>
          <w:sz w:val="22"/>
          <w:szCs w:val="22"/>
        </w:rPr>
        <w:t>. Sterling: VA: Stylus Publishing Company.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362F358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61E78F8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333333"/>
          <w:sz w:val="22"/>
          <w:szCs w:val="22"/>
        </w:rPr>
        <w:t>Submitted by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A13A1A1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Kimberly A. Whiter, M.S., </w:t>
      </w:r>
      <w:proofErr w:type="gramStart"/>
      <w:r>
        <w:rPr>
          <w:rStyle w:val="normaltextrun"/>
          <w:rFonts w:ascii="Calibri" w:hAnsi="Calibri" w:cs="Segoe UI"/>
          <w:color w:val="000000"/>
          <w:sz w:val="22"/>
          <w:szCs w:val="22"/>
        </w:rPr>
        <w:t>MLS(</w:t>
      </w:r>
      <w:proofErr w:type="gramEnd"/>
      <w:r>
        <w:rPr>
          <w:rStyle w:val="normaltextrun"/>
          <w:rFonts w:ascii="Calibri" w:hAnsi="Calibri" w:cs="Segoe UI"/>
          <w:color w:val="000000"/>
          <w:sz w:val="22"/>
          <w:szCs w:val="22"/>
        </w:rPr>
        <w:t>ASCP) CM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E2C67AA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Director of Faculty Development and </w:t>
      </w:r>
      <w:proofErr w:type="spellStart"/>
      <w:r>
        <w:rPr>
          <w:rStyle w:val="spellingerror"/>
          <w:rFonts w:ascii="Calibri" w:hAnsi="Calibri" w:cs="Segoe UI"/>
          <w:color w:val="000000"/>
          <w:sz w:val="22"/>
          <w:szCs w:val="22"/>
        </w:rPr>
        <w:t>Interprofessional</w:t>
      </w:r>
      <w:proofErr w:type="spellEnd"/>
      <w:r>
        <w:rPr>
          <w:rStyle w:val="normaltextrun"/>
          <w:rFonts w:ascii="Calibri" w:hAnsi="Calibri" w:cs="Segoe UI"/>
          <w:color w:val="000000"/>
          <w:sz w:val="22"/>
          <w:szCs w:val="22"/>
        </w:rPr>
        <w:t> Education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891DE38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Assistant Professor, Jefferson College of Health Sciences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F06CEC1" w14:textId="77777777" w:rsidR="003E06C4" w:rsidRDefault="003E06C4" w:rsidP="003E0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Instructor, Virginia Tech </w:t>
      </w:r>
      <w:proofErr w:type="spellStart"/>
      <w:r>
        <w:rPr>
          <w:rStyle w:val="normaltextrun"/>
          <w:rFonts w:ascii="Calibri" w:hAnsi="Calibri" w:cs="Segoe UI"/>
          <w:color w:val="000000"/>
          <w:sz w:val="22"/>
          <w:szCs w:val="22"/>
        </w:rPr>
        <w:t>Carilion</w:t>
      </w:r>
      <w:proofErr w:type="spellEnd"/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School of Medicine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33695BB" w14:textId="77777777" w:rsidR="006D7E97" w:rsidRDefault="006D7E97"/>
    <w:sectPr w:rsidR="006D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DE1NLIwMDE3NzdS0lEKTi0uzszPAykwrAUA4YkiqSwAAAA="/>
  </w:docVars>
  <w:rsids>
    <w:rsidRoot w:val="003E06C4"/>
    <w:rsid w:val="003E06C4"/>
    <w:rsid w:val="006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B790"/>
  <w15:chartTrackingRefBased/>
  <w15:docId w15:val="{4E5D5290-B57E-421B-BFC3-A66E1F3C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06C4"/>
  </w:style>
  <w:style w:type="character" w:customStyle="1" w:styleId="eop">
    <w:name w:val="eop"/>
    <w:basedOn w:val="DefaultParagraphFont"/>
    <w:rsid w:val="003E06C4"/>
  </w:style>
  <w:style w:type="character" w:customStyle="1" w:styleId="scxw1509924">
    <w:name w:val="scxw1509924"/>
    <w:basedOn w:val="DefaultParagraphFont"/>
    <w:rsid w:val="003E06C4"/>
  </w:style>
  <w:style w:type="character" w:customStyle="1" w:styleId="spellingerror">
    <w:name w:val="spellingerror"/>
    <w:basedOn w:val="DefaultParagraphFont"/>
    <w:rsid w:val="003E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galegroup.com/ps/i.do?id=GALE%7CCX3407100173&amp;v=2.1&amp;u=cuny_hunter&amp;it=r&amp;p=GVRL&amp;sw=w&amp;asid=06f2484b425a0c9f9606dff1b2a86c18" TargetMode="External"/><Relationship Id="rId5" Type="http://schemas.openxmlformats.org/officeDocument/2006/relationships/hyperlink" Target="https://youtu.be/2Cptzo3-sHI" TargetMode="External"/><Relationship Id="rId4" Type="http://schemas.openxmlformats.org/officeDocument/2006/relationships/hyperlink" Target="https://en.wikipedia.org/wiki/Observational_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Poston, Janice L.</dc:creator>
  <cp:keywords/>
  <dc:description/>
  <cp:lastModifiedBy>Poston, Janice L.</cp:lastModifiedBy>
  <cp:revision>1</cp:revision>
  <dcterms:created xsi:type="dcterms:W3CDTF">2018-07-18T19:08:00Z</dcterms:created>
  <dcterms:modified xsi:type="dcterms:W3CDTF">2018-07-18T19:09:00Z</dcterms:modified>
</cp:coreProperties>
</file>