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7F4D86" w14:textId="77777777" w:rsidR="00290B29" w:rsidRPr="009A6A33" w:rsidRDefault="00290B29" w:rsidP="00290B29">
      <w:pPr>
        <w:pStyle w:val="Heading1"/>
      </w:pPr>
      <w:bookmarkStart w:id="0" w:name="_Toc519497610"/>
      <w:r w:rsidRPr="009A6A33">
        <w:t xml:space="preserve">Helping </w:t>
      </w:r>
      <w:r>
        <w:t>S</w:t>
      </w:r>
      <w:r w:rsidRPr="009A6A33">
        <w:t xml:space="preserve">tudents </w:t>
      </w:r>
      <w:r>
        <w:t>A</w:t>
      </w:r>
      <w:r w:rsidRPr="009A6A33">
        <w:t xml:space="preserve">rticulate </w:t>
      </w:r>
      <w:r>
        <w:t>K</w:t>
      </w:r>
      <w:r w:rsidRPr="009A6A33">
        <w:t xml:space="preserve">nowledge and </w:t>
      </w:r>
      <w:r>
        <w:t>S</w:t>
      </w:r>
      <w:r w:rsidRPr="009A6A33">
        <w:t>kills</w:t>
      </w:r>
      <w:bookmarkEnd w:id="0"/>
    </w:p>
    <w:p w14:paraId="7ACDE33F" w14:textId="77777777" w:rsidR="00290B29" w:rsidRPr="009A6A33" w:rsidRDefault="00290B29" w:rsidP="00290B29">
      <w:pPr>
        <w:spacing w:after="0" w:line="240" w:lineRule="auto"/>
      </w:pPr>
    </w:p>
    <w:p w14:paraId="4793D25C" w14:textId="77777777" w:rsidR="00290B29" w:rsidRPr="009A6A33" w:rsidRDefault="00290B29" w:rsidP="00290B29">
      <w:pPr>
        <w:spacing w:after="0" w:line="240" w:lineRule="auto"/>
      </w:pPr>
      <w:proofErr w:type="gramStart"/>
      <w:r w:rsidRPr="009A6A33">
        <w:t>Students,</w:t>
      </w:r>
      <w:proofErr w:type="gramEnd"/>
      <w:r w:rsidRPr="009A6A33">
        <w:t xml:space="preserve"> and particularly those in the humanities, arts, and social sciences, often </w:t>
      </w:r>
      <w:hyperlink r:id="rId5" w:history="1">
        <w:r w:rsidRPr="009A6A33">
          <w:rPr>
            <w:rStyle w:val="Hyperlink"/>
            <w:color w:val="1155CC"/>
          </w:rPr>
          <w:t>struggle to articulate their knowledge and skills</w:t>
        </w:r>
      </w:hyperlink>
      <w:r w:rsidRPr="009A6A33">
        <w:t xml:space="preserve"> to prospective employers. </w:t>
      </w:r>
    </w:p>
    <w:p w14:paraId="0CF9F19C" w14:textId="77777777" w:rsidR="00290B29" w:rsidRPr="009A6A33" w:rsidRDefault="00290B29" w:rsidP="00290B29">
      <w:pPr>
        <w:spacing w:after="0" w:line="240" w:lineRule="auto"/>
      </w:pPr>
    </w:p>
    <w:p w14:paraId="6BB6AD82" w14:textId="77777777" w:rsidR="00290B29" w:rsidRPr="009A6A33" w:rsidRDefault="00290B29" w:rsidP="00290B29">
      <w:pPr>
        <w:spacing w:after="0" w:line="240" w:lineRule="auto"/>
      </w:pPr>
      <w:r w:rsidRPr="009A6A33">
        <w:t xml:space="preserve">Your college or university’s career center may have worked with local employers to identify the skills they most desire in students. Boise State University’s Career Center, for example, </w:t>
      </w:r>
      <w:hyperlink r:id="rId6" w:history="1">
        <w:r w:rsidRPr="009A6A33">
          <w:rPr>
            <w:rStyle w:val="Hyperlink"/>
            <w:color w:val="1155CC"/>
          </w:rPr>
          <w:t>maintains a list</w:t>
        </w:r>
      </w:hyperlink>
      <w:r w:rsidRPr="009A6A33">
        <w:t xml:space="preserve"> that includes, among other things, analyzing and interpreting information, collaboration, communication, problem solving, and taking initiative.</w:t>
      </w:r>
    </w:p>
    <w:p w14:paraId="5A2B4B23" w14:textId="77777777" w:rsidR="00290B29" w:rsidRPr="009A6A33" w:rsidRDefault="00290B29" w:rsidP="00290B29">
      <w:pPr>
        <w:spacing w:after="0" w:line="240" w:lineRule="auto"/>
      </w:pPr>
    </w:p>
    <w:p w14:paraId="49EE61BE" w14:textId="77777777" w:rsidR="00290B29" w:rsidRPr="009A6A33" w:rsidRDefault="00290B29" w:rsidP="00290B29">
      <w:pPr>
        <w:spacing w:after="0" w:line="240" w:lineRule="auto"/>
      </w:pPr>
      <w:r w:rsidRPr="009A6A33">
        <w:t xml:space="preserve">These are, of course, all skills students build through course assignments. Near the end of each semester, I co-create with my students a list of the skills they have built that semester. We then </w:t>
      </w:r>
      <w:proofErr w:type="gramStart"/>
      <w:r w:rsidRPr="009A6A33">
        <w:t>craft</w:t>
      </w:r>
      <w:proofErr w:type="gramEnd"/>
      <w:r w:rsidRPr="009A6A33">
        <w:t xml:space="preserve"> phrases they might use in résumés, cover letters, and interviews. Here are some examples from a women’s history course I taught recently:</w:t>
      </w:r>
    </w:p>
    <w:p w14:paraId="5928A2AB" w14:textId="77777777" w:rsidR="00290B29" w:rsidRPr="009A6A33" w:rsidRDefault="00290B29" w:rsidP="00290B29">
      <w:pPr>
        <w:spacing w:after="0" w:line="240" w:lineRule="auto"/>
      </w:pPr>
    </w:p>
    <w:p w14:paraId="06F56280" w14:textId="77777777" w:rsidR="00290B29" w:rsidRPr="009A6A33" w:rsidRDefault="00290B29" w:rsidP="00290B29">
      <w:pPr>
        <w:pStyle w:val="ListParagraph"/>
        <w:numPr>
          <w:ilvl w:val="0"/>
          <w:numId w:val="1"/>
        </w:numPr>
        <w:spacing w:after="0" w:line="240" w:lineRule="auto"/>
      </w:pPr>
      <w:r w:rsidRPr="009A6A33">
        <w:t>Located valuable sources when information is difficult to find</w:t>
      </w:r>
    </w:p>
    <w:p w14:paraId="0ED07CF4" w14:textId="77777777" w:rsidR="00290B29" w:rsidRPr="009A6A33" w:rsidRDefault="00290B29" w:rsidP="00290B29">
      <w:pPr>
        <w:pStyle w:val="ListParagraph"/>
        <w:numPr>
          <w:ilvl w:val="0"/>
          <w:numId w:val="1"/>
        </w:numPr>
        <w:spacing w:after="0" w:line="240" w:lineRule="auto"/>
      </w:pPr>
      <w:r w:rsidRPr="009A6A33">
        <w:t>Conducted primary source research in analog and digital repositories</w:t>
      </w:r>
    </w:p>
    <w:p w14:paraId="6F5655CF" w14:textId="77777777" w:rsidR="00290B29" w:rsidRPr="009A6A33" w:rsidRDefault="00290B29" w:rsidP="00290B29">
      <w:pPr>
        <w:pStyle w:val="ListParagraph"/>
        <w:numPr>
          <w:ilvl w:val="0"/>
          <w:numId w:val="1"/>
        </w:numPr>
        <w:spacing w:after="0" w:line="240" w:lineRule="auto"/>
      </w:pPr>
      <w:r w:rsidRPr="009A6A33">
        <w:t>Collaborated with a diverse team on multiple iterations of a project</w:t>
      </w:r>
    </w:p>
    <w:p w14:paraId="5E26D6BD" w14:textId="77777777" w:rsidR="00290B29" w:rsidRPr="009A6A33" w:rsidRDefault="00290B29" w:rsidP="00290B29">
      <w:pPr>
        <w:pStyle w:val="ListParagraph"/>
        <w:numPr>
          <w:ilvl w:val="0"/>
          <w:numId w:val="1"/>
        </w:numPr>
        <w:spacing w:after="0" w:line="240" w:lineRule="auto"/>
      </w:pPr>
      <w:r w:rsidRPr="009A6A33">
        <w:t>Pivoted a project’s focus when resources proved unavailable</w:t>
      </w:r>
    </w:p>
    <w:p w14:paraId="13090A46" w14:textId="77777777" w:rsidR="00290B29" w:rsidRPr="009A6A33" w:rsidRDefault="00290B29" w:rsidP="00290B29">
      <w:pPr>
        <w:pStyle w:val="ListParagraph"/>
        <w:numPr>
          <w:ilvl w:val="0"/>
          <w:numId w:val="1"/>
        </w:numPr>
        <w:spacing w:after="0" w:line="240" w:lineRule="auto"/>
      </w:pPr>
      <w:bookmarkStart w:id="1" w:name="_GoBack"/>
      <w:bookmarkEnd w:id="1"/>
      <w:r w:rsidRPr="009A6A33">
        <w:t>Navigated ambiguity; can “think on my feet” when obstacles arise</w:t>
      </w:r>
    </w:p>
    <w:p w14:paraId="5CDBCB56" w14:textId="77777777" w:rsidR="00290B29" w:rsidRPr="009A6A33" w:rsidRDefault="00290B29" w:rsidP="00290B29">
      <w:pPr>
        <w:pStyle w:val="ListParagraph"/>
        <w:numPr>
          <w:ilvl w:val="0"/>
          <w:numId w:val="1"/>
        </w:numPr>
        <w:spacing w:after="0" w:line="240" w:lineRule="auto"/>
      </w:pPr>
      <w:r w:rsidRPr="009A6A33">
        <w:t>Demonstrated persistence and resilience when identifying and learning new technologies</w:t>
      </w:r>
    </w:p>
    <w:p w14:paraId="77148D03" w14:textId="77777777" w:rsidR="00290B29" w:rsidRPr="009A6A33" w:rsidRDefault="00290B29" w:rsidP="00290B29">
      <w:pPr>
        <w:pStyle w:val="ListParagraph"/>
        <w:numPr>
          <w:ilvl w:val="0"/>
          <w:numId w:val="1"/>
        </w:numPr>
        <w:spacing w:after="0" w:line="240" w:lineRule="auto"/>
      </w:pPr>
      <w:r w:rsidRPr="009A6A33">
        <w:t>Set realistic goals and timelines</w:t>
      </w:r>
    </w:p>
    <w:p w14:paraId="6A72A612" w14:textId="77777777" w:rsidR="00290B29" w:rsidRPr="009A6A33" w:rsidRDefault="00290B29" w:rsidP="00290B29">
      <w:pPr>
        <w:pStyle w:val="ListParagraph"/>
        <w:numPr>
          <w:ilvl w:val="0"/>
          <w:numId w:val="1"/>
        </w:numPr>
        <w:spacing w:after="0" w:line="240" w:lineRule="auto"/>
      </w:pPr>
      <w:r w:rsidRPr="009A6A33">
        <w:t>Learned who to ask, what to ask for, and how to ask for it</w:t>
      </w:r>
    </w:p>
    <w:p w14:paraId="4B59F5A7" w14:textId="77777777" w:rsidR="00290B29" w:rsidRPr="009A6A33" w:rsidRDefault="00290B29" w:rsidP="00290B29">
      <w:pPr>
        <w:pStyle w:val="ListParagraph"/>
        <w:numPr>
          <w:ilvl w:val="0"/>
          <w:numId w:val="1"/>
        </w:numPr>
        <w:spacing w:after="0" w:line="240" w:lineRule="auto"/>
      </w:pPr>
      <w:r w:rsidRPr="009A6A33">
        <w:t>Built accessible digital resources</w:t>
      </w:r>
    </w:p>
    <w:p w14:paraId="5531DDD6" w14:textId="77777777" w:rsidR="00290B29" w:rsidRPr="009A6A33" w:rsidRDefault="00290B29" w:rsidP="00290B29">
      <w:pPr>
        <w:spacing w:after="0" w:line="240" w:lineRule="auto"/>
      </w:pPr>
    </w:p>
    <w:p w14:paraId="7518303C" w14:textId="77777777" w:rsidR="00290B29" w:rsidRPr="009A6A33" w:rsidRDefault="00290B29" w:rsidP="00290B29">
      <w:pPr>
        <w:spacing w:after="0" w:line="240" w:lineRule="auto"/>
      </w:pPr>
      <w:r w:rsidRPr="009A6A33">
        <w:t xml:space="preserve">Most students </w:t>
      </w:r>
      <w:proofErr w:type="gramStart"/>
      <w:r w:rsidRPr="009A6A33">
        <w:t>wouldn’t</w:t>
      </w:r>
      <w:proofErr w:type="gramEnd"/>
      <w:r w:rsidRPr="009A6A33">
        <w:t xml:space="preserve"> consider a women’s history course vocationally focused, yet this exercise helped them emerge from the class confident they had transferable skills. Chances are your courses are similarly useful to students on the job market, but they might not realize it, let alone know how to describe the knowledge and skills they acquired.</w:t>
      </w:r>
    </w:p>
    <w:p w14:paraId="3BFF514D" w14:textId="77777777" w:rsidR="00290B29" w:rsidRDefault="00290B29" w:rsidP="00290B29">
      <w:pPr>
        <w:spacing w:after="0" w:line="240" w:lineRule="auto"/>
        <w:rPr>
          <w:rFonts w:eastAsia="Arial"/>
        </w:rPr>
      </w:pPr>
      <w:bookmarkStart w:id="2" w:name="_eonbw49mbbzv"/>
      <w:bookmarkEnd w:id="2"/>
    </w:p>
    <w:p w14:paraId="4CDED934" w14:textId="77777777" w:rsidR="00290B29" w:rsidRPr="009A6A33" w:rsidRDefault="00290B29" w:rsidP="00290B29">
      <w:pPr>
        <w:pStyle w:val="Heading2"/>
        <w:rPr>
          <w:rFonts w:eastAsia="Arial"/>
        </w:rPr>
      </w:pPr>
      <w:r w:rsidRPr="009A6A33">
        <w:rPr>
          <w:rFonts w:eastAsia="Arial"/>
        </w:rPr>
        <w:t>Further reading</w:t>
      </w:r>
    </w:p>
    <w:p w14:paraId="1C3F7EC1" w14:textId="77777777" w:rsidR="00290B29" w:rsidRPr="009A6A33" w:rsidRDefault="00290B29" w:rsidP="00290B29">
      <w:pPr>
        <w:spacing w:after="0" w:line="240" w:lineRule="auto"/>
      </w:pPr>
      <w:hyperlink r:id="rId7" w:history="1">
        <w:r w:rsidRPr="009A6A33">
          <w:rPr>
            <w:rStyle w:val="Hyperlink"/>
            <w:color w:val="1155CC"/>
          </w:rPr>
          <w:t>A curriculum model for transferable skills development</w:t>
        </w:r>
      </w:hyperlink>
    </w:p>
    <w:p w14:paraId="4AEE63F1" w14:textId="77777777" w:rsidR="00290B29" w:rsidRPr="009A6A33" w:rsidRDefault="00290B29" w:rsidP="00290B29">
      <w:pPr>
        <w:spacing w:after="0" w:line="240" w:lineRule="auto"/>
      </w:pPr>
      <w:hyperlink r:id="rId8" w:history="1">
        <w:proofErr w:type="spellStart"/>
        <w:r w:rsidRPr="009A6A33">
          <w:rPr>
            <w:rStyle w:val="Hyperlink"/>
            <w:color w:val="1155CC"/>
          </w:rPr>
          <w:t>Analysing</w:t>
        </w:r>
        <w:proofErr w:type="spellEnd"/>
        <w:r w:rsidRPr="009A6A33">
          <w:rPr>
            <w:rStyle w:val="Hyperlink"/>
            <w:color w:val="1155CC"/>
          </w:rPr>
          <w:t xml:space="preserve"> student perceptions of transferable skills via undergraduate degree </w:t>
        </w:r>
        <w:proofErr w:type="spellStart"/>
        <w:r w:rsidRPr="009A6A33">
          <w:rPr>
            <w:rStyle w:val="Hyperlink"/>
            <w:color w:val="1155CC"/>
          </w:rPr>
          <w:t>programmes</w:t>
        </w:r>
        <w:proofErr w:type="spellEnd"/>
      </w:hyperlink>
    </w:p>
    <w:p w14:paraId="367CE660" w14:textId="77777777" w:rsidR="00290B29" w:rsidRPr="009A6A33" w:rsidRDefault="00290B29" w:rsidP="00290B29">
      <w:pPr>
        <w:spacing w:after="0" w:line="240" w:lineRule="auto"/>
      </w:pPr>
      <w:hyperlink r:id="rId9" w:history="1">
        <w:r w:rsidRPr="009A6A33">
          <w:rPr>
            <w:rStyle w:val="Hyperlink"/>
            <w:color w:val="1155CC"/>
          </w:rPr>
          <w:t>Humanities and social science degrees ‘develop key employment skills’</w:t>
        </w:r>
      </w:hyperlink>
    </w:p>
    <w:p w14:paraId="709EB1D6" w14:textId="77777777" w:rsidR="00290B29" w:rsidRPr="009A6A33" w:rsidRDefault="00290B29" w:rsidP="00290B29">
      <w:pPr>
        <w:spacing w:after="0" w:line="240" w:lineRule="auto"/>
      </w:pPr>
      <w:hyperlink r:id="rId10" w:history="1">
        <w:r w:rsidRPr="009A6A33">
          <w:rPr>
            <w:rStyle w:val="Hyperlink"/>
            <w:color w:val="1155CC"/>
          </w:rPr>
          <w:t>Dispelling the myth of the unemployable humanities major</w:t>
        </w:r>
      </w:hyperlink>
    </w:p>
    <w:p w14:paraId="13194B17" w14:textId="77777777" w:rsidR="00290B29" w:rsidRPr="009A6A33" w:rsidRDefault="00290B29" w:rsidP="00290B29">
      <w:pPr>
        <w:spacing w:after="0" w:line="240" w:lineRule="auto"/>
      </w:pPr>
      <w:hyperlink r:id="rId11" w:history="1">
        <w:r w:rsidRPr="009A6A33">
          <w:rPr>
            <w:rStyle w:val="Hyperlink"/>
            <w:color w:val="1155CC"/>
          </w:rPr>
          <w:t>A list of transferable skills undergraduates develop</w:t>
        </w:r>
      </w:hyperlink>
      <w:r w:rsidRPr="009A6A33">
        <w:t>, from Marquette University</w:t>
      </w:r>
    </w:p>
    <w:p w14:paraId="4C627E02" w14:textId="77777777" w:rsidR="00290B29" w:rsidRPr="009A6A33" w:rsidRDefault="00290B29" w:rsidP="00290B29">
      <w:pPr>
        <w:spacing w:after="0" w:line="240" w:lineRule="auto"/>
      </w:pPr>
    </w:p>
    <w:p w14:paraId="7988E598" w14:textId="77777777" w:rsidR="00290B29" w:rsidRPr="00BF4B0D" w:rsidRDefault="00290B29" w:rsidP="00290B29">
      <w:pPr>
        <w:spacing w:after="0" w:line="240" w:lineRule="auto"/>
        <w:rPr>
          <w:rFonts w:eastAsia="Arial"/>
          <w:b/>
        </w:rPr>
      </w:pPr>
      <w:bookmarkStart w:id="3" w:name="_7sv346rrfps8"/>
      <w:bookmarkEnd w:id="3"/>
      <w:r w:rsidRPr="00BF4B0D">
        <w:rPr>
          <w:rFonts w:eastAsia="Arial"/>
          <w:b/>
        </w:rPr>
        <w:t>Submitted by:</w:t>
      </w:r>
    </w:p>
    <w:p w14:paraId="13DCF461" w14:textId="77777777" w:rsidR="00290B29" w:rsidRPr="009A6A33" w:rsidRDefault="00290B29" w:rsidP="00290B29">
      <w:pPr>
        <w:spacing w:after="0" w:line="240" w:lineRule="auto"/>
        <w:rPr>
          <w:rFonts w:eastAsia="Arial"/>
        </w:rPr>
      </w:pPr>
      <w:r w:rsidRPr="009A6A33">
        <w:t>Leslie Madsen</w:t>
      </w:r>
    </w:p>
    <w:p w14:paraId="1E97DFF8" w14:textId="77777777" w:rsidR="00290B29" w:rsidRPr="009A6A33" w:rsidRDefault="00290B29" w:rsidP="00290B29">
      <w:pPr>
        <w:spacing w:after="0" w:line="240" w:lineRule="auto"/>
      </w:pPr>
      <w:r w:rsidRPr="009A6A33">
        <w:t>Director, Instructional Design and Educational Assessment (IDEA Shop)</w:t>
      </w:r>
    </w:p>
    <w:p w14:paraId="4377DF72" w14:textId="77777777" w:rsidR="00290B29" w:rsidRPr="009A6A33" w:rsidRDefault="00290B29" w:rsidP="00290B29">
      <w:pPr>
        <w:spacing w:after="0" w:line="240" w:lineRule="auto"/>
      </w:pPr>
      <w:r w:rsidRPr="009A6A33">
        <w:t>Center for Teaching and Learning</w:t>
      </w:r>
    </w:p>
    <w:p w14:paraId="68C3F4A6" w14:textId="77777777" w:rsidR="00290B29" w:rsidRPr="009A6A33" w:rsidRDefault="00290B29" w:rsidP="00290B29">
      <w:pPr>
        <w:spacing w:after="0" w:line="240" w:lineRule="auto"/>
      </w:pPr>
      <w:r w:rsidRPr="009A6A33">
        <w:t>Boise State University</w:t>
      </w:r>
    </w:p>
    <w:p w14:paraId="408D7526" w14:textId="77777777" w:rsidR="00290B29" w:rsidRPr="009A6A33" w:rsidRDefault="00290B29" w:rsidP="00290B29">
      <w:pPr>
        <w:spacing w:after="0" w:line="240" w:lineRule="auto"/>
      </w:pPr>
    </w:p>
    <w:p w14:paraId="0DD3FB6A" w14:textId="77777777" w:rsidR="00290B29" w:rsidRPr="009A6A33" w:rsidRDefault="00290B29" w:rsidP="00290B29">
      <w:pPr>
        <w:spacing w:after="0" w:line="240" w:lineRule="auto"/>
      </w:pPr>
    </w:p>
    <w:p w14:paraId="1860C55C" w14:textId="77777777" w:rsidR="008940CD" w:rsidRDefault="008940CD"/>
    <w:sectPr w:rsidR="008940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engXian">
    <w:altName w:val="等线"/>
    <w:panose1 w:val="02010600030101010101"/>
    <w:charset w:val="86"/>
    <w:family w:val="modern"/>
    <w:pitch w:val="fixed"/>
    <w:sig w:usb0="00000001" w:usb1="080E0000" w:usb2="00000010" w:usb3="00000000" w:csb0="00040000" w:csb1="00000000"/>
  </w:font>
  <w:font w:name="Georgia">
    <w:panose1 w:val="02040502050405020303"/>
    <w:charset w:val="00"/>
    <w:family w:val="roman"/>
    <w:pitch w:val="variable"/>
    <w:sig w:usb0="00000287" w:usb1="00000000" w:usb2="00000000" w:usb3="00000000" w:csb0="0000009F" w:csb1="00000000"/>
  </w:font>
  <w:font w:name="Roboto">
    <w:altName w:val="Times New Roman"/>
    <w:panose1 w:val="00000000000000000000"/>
    <w:charset w:val="00"/>
    <w:family w:val="auto"/>
    <w:pitch w:val="default"/>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DengXian Light">
    <w:altName w:val="等线 Light"/>
    <w:panose1 w:val="00000000000000000000"/>
    <w:charset w:val="86"/>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45374"/>
    <w:multiLevelType w:val="hybridMultilevel"/>
    <w:tmpl w:val="A0067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0B29"/>
    <w:rsid w:val="00290B29"/>
    <w:rsid w:val="008940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A852D0"/>
  <w15:chartTrackingRefBased/>
  <w15:docId w15:val="{2D4394B5-C543-41A6-A4D6-F9EBE1736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0B29"/>
    <w:rPr>
      <w:rFonts w:eastAsiaTheme="minorHAnsi"/>
      <w:lang w:eastAsia="en-US"/>
    </w:rPr>
  </w:style>
  <w:style w:type="paragraph" w:styleId="Heading1">
    <w:name w:val="heading 1"/>
    <w:basedOn w:val="Normal"/>
    <w:next w:val="Normal"/>
    <w:link w:val="Heading1Char"/>
    <w:autoRedefine/>
    <w:uiPriority w:val="9"/>
    <w:qFormat/>
    <w:rsid w:val="00290B29"/>
    <w:pPr>
      <w:keepNext/>
      <w:keepLines/>
      <w:spacing w:after="0" w:line="240" w:lineRule="auto"/>
      <w:jc w:val="center"/>
      <w:outlineLvl w:val="0"/>
    </w:pPr>
    <w:rPr>
      <w:rFonts w:ascii="Georgia" w:eastAsia="Roboto" w:hAnsi="Georgia" w:cs="Times New Roman"/>
      <w:color w:val="2E74B5" w:themeColor="accent1" w:themeShade="BF"/>
      <w:sz w:val="31"/>
      <w:szCs w:val="31"/>
    </w:rPr>
  </w:style>
  <w:style w:type="paragraph" w:styleId="Heading2">
    <w:name w:val="heading 2"/>
    <w:basedOn w:val="Normal"/>
    <w:next w:val="Normal"/>
    <w:link w:val="Heading2Char"/>
    <w:autoRedefine/>
    <w:uiPriority w:val="9"/>
    <w:unhideWhenUsed/>
    <w:qFormat/>
    <w:rsid w:val="00290B29"/>
    <w:pPr>
      <w:keepNext/>
      <w:keepLines/>
      <w:spacing w:after="0" w:line="240" w:lineRule="auto"/>
      <w:outlineLvl w:val="1"/>
    </w:pPr>
    <w:rPr>
      <w:rFonts w:asciiTheme="majorHAnsi" w:eastAsia="Times New Roman"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90B29"/>
    <w:rPr>
      <w:rFonts w:ascii="Georgia" w:eastAsia="Roboto" w:hAnsi="Georgia" w:cs="Times New Roman"/>
      <w:color w:val="2E74B5" w:themeColor="accent1" w:themeShade="BF"/>
      <w:sz w:val="31"/>
      <w:szCs w:val="31"/>
      <w:lang w:eastAsia="en-US"/>
    </w:rPr>
  </w:style>
  <w:style w:type="character" w:customStyle="1" w:styleId="Heading2Char">
    <w:name w:val="Heading 2 Char"/>
    <w:basedOn w:val="DefaultParagraphFont"/>
    <w:link w:val="Heading2"/>
    <w:uiPriority w:val="9"/>
    <w:rsid w:val="00290B29"/>
    <w:rPr>
      <w:rFonts w:asciiTheme="majorHAnsi" w:eastAsia="Times New Roman" w:hAnsiTheme="majorHAnsi" w:cstheme="majorBidi"/>
      <w:color w:val="2E74B5" w:themeColor="accent1" w:themeShade="BF"/>
      <w:sz w:val="26"/>
      <w:szCs w:val="26"/>
      <w:lang w:eastAsia="en-US"/>
    </w:rPr>
  </w:style>
  <w:style w:type="paragraph" w:styleId="ListParagraph">
    <w:name w:val="List Paragraph"/>
    <w:basedOn w:val="Normal"/>
    <w:uiPriority w:val="34"/>
    <w:qFormat/>
    <w:rsid w:val="00290B29"/>
    <w:pPr>
      <w:ind w:left="720"/>
      <w:contextualSpacing/>
    </w:pPr>
  </w:style>
  <w:style w:type="character" w:styleId="Hyperlink">
    <w:name w:val="Hyperlink"/>
    <w:basedOn w:val="DefaultParagraphFont"/>
    <w:uiPriority w:val="99"/>
    <w:unhideWhenUsed/>
    <w:rsid w:val="00290B2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journals.sagepub.com/doi/abs/10.1177/1469787405054238"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tandfonline.com/doi/full/10.11120/ened.2006.01010019"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reer.boisestate.edu/makecollegecount/skills-critical-employability/" TargetMode="External"/><Relationship Id="rId11" Type="http://schemas.openxmlformats.org/officeDocument/2006/relationships/hyperlink" Target="http://www.marquette.edu/csc/undergraduate/transferableskills.shtml" TargetMode="External"/><Relationship Id="rId5" Type="http://schemas.openxmlformats.org/officeDocument/2006/relationships/hyperlink" Target="https://www.insidehighered.com/views/2017/10/02/career-services-and-faculty-must-work-together-help-humanities-students-essay" TargetMode="External"/><Relationship Id="rId10" Type="http://schemas.openxmlformats.org/officeDocument/2006/relationships/hyperlink" Target="https://www.washington.edu/trends/dispelling-the-myth-of-the-unemployable-humanities-major/" TargetMode="External"/><Relationship Id="rId4" Type="http://schemas.openxmlformats.org/officeDocument/2006/relationships/webSettings" Target="webSettings.xml"/><Relationship Id="rId9" Type="http://schemas.openxmlformats.org/officeDocument/2006/relationships/hyperlink" Target="http://www.ox.ac.uk/news/arts-blog/humanities-and-social-sciences-degrees-develop-key-employment-skil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451</Words>
  <Characters>2576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Bellarmine University</Company>
  <LinksUpToDate>false</LinksUpToDate>
  <CharactersWithSpaces>3021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Poston, Janice L.</dc:creator>
  <cp:keywords/>
  <dc:description/>
  <cp:lastModifiedBy>Poston, Janice L.</cp:lastModifiedBy>
  <cp:revision>1</cp:revision>
  <dcterms:created xsi:type="dcterms:W3CDTF">2018-07-17T17:33:00Z</dcterms:created>
  <dcterms:modified xsi:type="dcterms:W3CDTF">2018-07-17T17:34:00Z</dcterms:modified>
</cp:coreProperties>
</file>