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FEE2" w14:textId="77777777" w:rsidR="00476CE1" w:rsidRPr="00DC259D" w:rsidRDefault="00476CE1" w:rsidP="00476CE1">
      <w:pPr>
        <w:pStyle w:val="Heading1"/>
      </w:pPr>
      <w:bookmarkStart w:id="0" w:name="_Toc519497615"/>
      <w:r w:rsidRPr="00DC259D">
        <w:t>Learning as a Journey: Early, Low-stakes Assignments</w:t>
      </w:r>
      <w:bookmarkEnd w:id="0"/>
    </w:p>
    <w:p w14:paraId="5EDDD567" w14:textId="77777777" w:rsidR="00476CE1" w:rsidRPr="002D6880" w:rsidRDefault="00476CE1" w:rsidP="00476CE1">
      <w:pPr>
        <w:spacing w:before="100" w:beforeAutospacing="1" w:after="100" w:afterAutospacing="1"/>
        <w:rPr>
          <w:rFonts w:eastAsia="Times New Roman" w:cs="Arial"/>
        </w:rPr>
      </w:pPr>
      <w:r w:rsidRPr="002D6880">
        <w:rPr>
          <w:rFonts w:eastAsia="Times New Roman" w:cs="Arial"/>
        </w:rPr>
        <w:t xml:space="preserve">Should we be giving students more tests? Well, yes, and no.  In order for assessments of learning to be effective, they must be “frequent, early, and formative” (Tinto, 2012). Offering opportunities for students to practice and receive critical feedback right from the start helps to guide their learning. Given that early, low-stakes assignments influence future performance, rather than past, we can understand where our students are before and during their learning. This in turn helps us in creating opportunities </w:t>
      </w:r>
      <w:proofErr w:type="gramStart"/>
      <w:r w:rsidRPr="002D6880">
        <w:rPr>
          <w:rFonts w:eastAsia="Times New Roman" w:cs="Arial"/>
        </w:rPr>
        <w:t>to further grow</w:t>
      </w:r>
      <w:proofErr w:type="gramEnd"/>
      <w:r w:rsidRPr="002D6880">
        <w:rPr>
          <w:rFonts w:eastAsia="Times New Roman" w:cs="Arial"/>
        </w:rPr>
        <w:t xml:space="preserve"> their self-efficacy by identifying misconceptions and gaps. This approach has many benefits to both instructor and student. </w:t>
      </w:r>
    </w:p>
    <w:p w14:paraId="7F50BE2F" w14:textId="77777777" w:rsidR="00476CE1" w:rsidRPr="00DC259D" w:rsidRDefault="00476CE1" w:rsidP="00476CE1">
      <w:pPr>
        <w:pStyle w:val="Heading2"/>
      </w:pPr>
      <w:r w:rsidRPr="00DC259D">
        <w:t>Benefits for Students</w:t>
      </w:r>
    </w:p>
    <w:p w14:paraId="579D153F"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Motivates and increases class attendance</w:t>
      </w:r>
    </w:p>
    <w:p w14:paraId="4044FB9C"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Opportunity for active and reflective evaluation and control of their own learning (Nicol &amp; Macfarlane-Dick, 2006)</w:t>
      </w:r>
    </w:p>
    <w:p w14:paraId="317574D4"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Opportunity to translate prior knowledge/experiences to course topics (</w:t>
      </w:r>
      <w:proofErr w:type="spellStart"/>
      <w:r w:rsidRPr="002D6880">
        <w:rPr>
          <w:rFonts w:asciiTheme="majorHAnsi" w:eastAsia="Times New Roman" w:hAnsiTheme="majorHAnsi" w:cs="Arial"/>
        </w:rPr>
        <w:t>Kift</w:t>
      </w:r>
      <w:proofErr w:type="spellEnd"/>
      <w:r w:rsidRPr="002D6880">
        <w:rPr>
          <w:rFonts w:asciiTheme="majorHAnsi" w:eastAsia="Times New Roman" w:hAnsiTheme="majorHAnsi" w:cs="Arial"/>
        </w:rPr>
        <w:t>, 2009)</w:t>
      </w:r>
    </w:p>
    <w:p w14:paraId="020FA4BD"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Increases engagement, specifically for those who might be at risk for failure or withdrawal</w:t>
      </w:r>
    </w:p>
    <w:p w14:paraId="2D2F9139"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Builds skills and confidence with specific, timely, feedback that empower them to make adjustments (</w:t>
      </w:r>
      <w:proofErr w:type="spellStart"/>
      <w:r w:rsidRPr="002D6880">
        <w:rPr>
          <w:rFonts w:asciiTheme="majorHAnsi" w:eastAsia="Times New Roman" w:hAnsiTheme="majorHAnsi" w:cs="Arial"/>
        </w:rPr>
        <w:t>Kuh</w:t>
      </w:r>
      <w:proofErr w:type="spellEnd"/>
      <w:r w:rsidRPr="002D6880">
        <w:rPr>
          <w:rFonts w:asciiTheme="majorHAnsi" w:eastAsia="Times New Roman" w:hAnsiTheme="majorHAnsi" w:cs="Arial"/>
        </w:rPr>
        <w:t xml:space="preserve">, </w:t>
      </w:r>
      <w:proofErr w:type="spellStart"/>
      <w:r w:rsidRPr="002D6880">
        <w:rPr>
          <w:rFonts w:asciiTheme="majorHAnsi" w:eastAsia="Times New Roman" w:hAnsiTheme="majorHAnsi" w:cs="Arial"/>
        </w:rPr>
        <w:t>Kinzie</w:t>
      </w:r>
      <w:proofErr w:type="spellEnd"/>
      <w:r w:rsidRPr="002D6880">
        <w:rPr>
          <w:rFonts w:asciiTheme="majorHAnsi" w:eastAsia="Times New Roman" w:hAnsiTheme="majorHAnsi" w:cs="Arial"/>
        </w:rPr>
        <w:t xml:space="preserve">, </w:t>
      </w:r>
      <w:proofErr w:type="spellStart"/>
      <w:r w:rsidRPr="002D6880">
        <w:rPr>
          <w:rFonts w:asciiTheme="majorHAnsi" w:eastAsia="Times New Roman" w:hAnsiTheme="majorHAnsi" w:cs="Arial"/>
        </w:rPr>
        <w:t>Schuh</w:t>
      </w:r>
      <w:proofErr w:type="spellEnd"/>
      <w:r w:rsidRPr="002D6880">
        <w:rPr>
          <w:rFonts w:asciiTheme="majorHAnsi" w:eastAsia="Times New Roman" w:hAnsiTheme="majorHAnsi" w:cs="Arial"/>
        </w:rPr>
        <w:t>, &amp; Whitt, 2010)</w:t>
      </w:r>
    </w:p>
    <w:p w14:paraId="14E2F1C8"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Increases opportunity for practice, recall, and retention of information</w:t>
      </w:r>
    </w:p>
    <w:p w14:paraId="6162475E"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Increases self-efficacy</w:t>
      </w:r>
    </w:p>
    <w:p w14:paraId="1258C674"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Opens communication with the instructor that can lead to more meaningful conversations and connections</w:t>
      </w:r>
    </w:p>
    <w:p w14:paraId="72C219CB" w14:textId="77777777" w:rsidR="00476CE1" w:rsidRPr="002D6880" w:rsidRDefault="00476CE1" w:rsidP="00476CE1">
      <w:pPr>
        <w:numPr>
          <w:ilvl w:val="0"/>
          <w:numId w:val="1"/>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Fosters deep learning (Bain, 2014; Nilsen, 2010)</w:t>
      </w:r>
    </w:p>
    <w:p w14:paraId="1B646FCB" w14:textId="77777777" w:rsidR="00476CE1" w:rsidRPr="00DC259D" w:rsidRDefault="00476CE1" w:rsidP="00476CE1">
      <w:pPr>
        <w:pStyle w:val="Heading2"/>
      </w:pPr>
      <w:r w:rsidRPr="00DC259D">
        <w:t>Benefits for Faculty</w:t>
      </w:r>
    </w:p>
    <w:p w14:paraId="772179B6"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Personalizes the learning experience by modifying instruction based on students’ learning</w:t>
      </w:r>
    </w:p>
    <w:p w14:paraId="5A473972"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Opens communication with your students that can lead to more meaningful conversations and connections</w:t>
      </w:r>
    </w:p>
    <w:p w14:paraId="7973ADD7"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Connects to bigger course concepts to help student scaffold their learning</w:t>
      </w:r>
    </w:p>
    <w:p w14:paraId="65E112BB"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Identifies students who may need additional support, e.g., students on academic probation, students not attending class, students who would benefit from other support such as writing, etc.</w:t>
      </w:r>
    </w:p>
    <w:p w14:paraId="06987311"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Referral support using an early alert system</w:t>
      </w:r>
    </w:p>
    <w:p w14:paraId="21831291"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Directs students to additional resources if needed</w:t>
      </w:r>
    </w:p>
    <w:p w14:paraId="3C6C11C7" w14:textId="77777777" w:rsidR="00476CE1" w:rsidRPr="002D6880" w:rsidRDefault="00476CE1" w:rsidP="00476CE1">
      <w:pPr>
        <w:numPr>
          <w:ilvl w:val="0"/>
          <w:numId w:val="2"/>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Contributes towards helping students not only be successful in their courses, but also make significant progress toward their degrees</w:t>
      </w:r>
    </w:p>
    <w:p w14:paraId="18F2D59D" w14:textId="77777777" w:rsidR="00476CE1" w:rsidRPr="00DC259D" w:rsidRDefault="00476CE1" w:rsidP="00476CE1">
      <w:pPr>
        <w:pStyle w:val="Heading2"/>
      </w:pPr>
      <w:r w:rsidRPr="00DC259D">
        <w:t>Examples of Low-stakes Assignments</w:t>
      </w:r>
    </w:p>
    <w:p w14:paraId="36F9A51A"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Drafts</w:t>
      </w:r>
    </w:p>
    <w:p w14:paraId="223FB1B6"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Peer review</w:t>
      </w:r>
    </w:p>
    <w:p w14:paraId="00914FBD"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Group work</w:t>
      </w:r>
    </w:p>
    <w:p w14:paraId="61ACB71C"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Quiz</w:t>
      </w:r>
    </w:p>
    <w:p w14:paraId="39F9A8E1"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Discussion</w:t>
      </w:r>
    </w:p>
    <w:p w14:paraId="39D0A0C5"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Self-assessment</w:t>
      </w:r>
    </w:p>
    <w:p w14:paraId="13B48806"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lastRenderedPageBreak/>
        <w:t>Quick Write</w:t>
      </w:r>
    </w:p>
    <w:p w14:paraId="0FD31B95"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Muddiest Point</w:t>
      </w:r>
    </w:p>
    <w:p w14:paraId="30D5EEF5" w14:textId="77777777" w:rsidR="00476CE1" w:rsidRPr="002D6880" w:rsidRDefault="00476CE1" w:rsidP="00476CE1">
      <w:pPr>
        <w:numPr>
          <w:ilvl w:val="0"/>
          <w:numId w:val="3"/>
        </w:numPr>
        <w:spacing w:before="100" w:beforeAutospacing="1" w:after="100" w:afterAutospacing="1" w:line="240" w:lineRule="auto"/>
        <w:rPr>
          <w:rFonts w:asciiTheme="majorHAnsi" w:eastAsia="Times New Roman" w:hAnsiTheme="majorHAnsi" w:cs="Arial"/>
        </w:rPr>
      </w:pPr>
      <w:r w:rsidRPr="002D6880">
        <w:rPr>
          <w:rFonts w:asciiTheme="majorHAnsi" w:eastAsia="Times New Roman" w:hAnsiTheme="majorHAnsi" w:cs="Arial"/>
        </w:rPr>
        <w:t>Journal/reflection</w:t>
      </w:r>
    </w:p>
    <w:p w14:paraId="1A3CFFF4" w14:textId="77777777" w:rsidR="00476CE1" w:rsidRPr="00DC259D" w:rsidRDefault="00476CE1" w:rsidP="00476CE1">
      <w:pPr>
        <w:pStyle w:val="Heading2"/>
      </w:pPr>
      <w:r w:rsidRPr="00DC259D">
        <w:t>References</w:t>
      </w:r>
    </w:p>
    <w:p w14:paraId="3133EA0A" w14:textId="77777777" w:rsidR="00476CE1" w:rsidRPr="002D6880" w:rsidRDefault="00476CE1" w:rsidP="00476CE1">
      <w:pPr>
        <w:spacing w:before="100" w:beforeAutospacing="1" w:after="100" w:afterAutospacing="1"/>
        <w:rPr>
          <w:rFonts w:asciiTheme="majorHAnsi" w:eastAsia="Times New Roman" w:hAnsiTheme="majorHAnsi" w:cs="Arial"/>
        </w:rPr>
      </w:pPr>
      <w:r w:rsidRPr="002D6880">
        <w:rPr>
          <w:rFonts w:asciiTheme="majorHAnsi" w:eastAsia="Times New Roman" w:hAnsiTheme="majorHAnsi" w:cs="Arial"/>
        </w:rPr>
        <w:t>Bain, K. (2004). What the best college teachers do. Cambridge: Harvard UP.</w:t>
      </w:r>
    </w:p>
    <w:p w14:paraId="2FA65687" w14:textId="77777777" w:rsidR="00476CE1" w:rsidRPr="002D6880" w:rsidRDefault="00476CE1" w:rsidP="00476CE1">
      <w:pPr>
        <w:spacing w:before="100" w:beforeAutospacing="1" w:after="100" w:afterAutospacing="1"/>
        <w:rPr>
          <w:rFonts w:asciiTheme="majorHAnsi" w:eastAsia="Times New Roman" w:hAnsiTheme="majorHAnsi" w:cs="Arial"/>
        </w:rPr>
      </w:pPr>
      <w:proofErr w:type="spellStart"/>
      <w:r w:rsidRPr="002D6880">
        <w:rPr>
          <w:rFonts w:asciiTheme="majorHAnsi" w:eastAsia="Times New Roman" w:hAnsiTheme="majorHAnsi" w:cs="Arial"/>
        </w:rPr>
        <w:t>Kift</w:t>
      </w:r>
      <w:proofErr w:type="spellEnd"/>
      <w:r w:rsidRPr="002D6880">
        <w:rPr>
          <w:rFonts w:asciiTheme="majorHAnsi" w:eastAsia="Times New Roman" w:hAnsiTheme="majorHAnsi" w:cs="Arial"/>
        </w:rPr>
        <w:t>, S., (2009), First year curriculum principles: Program coordinator checklist, Articulating a transition pedagogy.</w:t>
      </w:r>
      <w:hyperlink r:id="rId5" w:history="1">
        <w:r w:rsidRPr="002D6880">
          <w:rPr>
            <w:rFonts w:asciiTheme="majorHAnsi" w:eastAsia="Times New Roman" w:hAnsiTheme="majorHAnsi" w:cs="Arial"/>
            <w:color w:val="0000FF"/>
            <w:u w:val="single"/>
          </w:rPr>
          <w:t xml:space="preserve"> http://www.csu.edu.au/student/transition/deliverables/5.htm</w:t>
        </w:r>
      </w:hyperlink>
    </w:p>
    <w:p w14:paraId="1B524B2B" w14:textId="77777777" w:rsidR="00476CE1" w:rsidRPr="002D6880" w:rsidRDefault="00476CE1" w:rsidP="00476CE1">
      <w:pPr>
        <w:spacing w:before="100" w:beforeAutospacing="1" w:after="100" w:afterAutospacing="1"/>
        <w:rPr>
          <w:rFonts w:asciiTheme="majorHAnsi" w:eastAsia="Times New Roman" w:hAnsiTheme="majorHAnsi" w:cs="Arial"/>
        </w:rPr>
      </w:pPr>
      <w:proofErr w:type="spellStart"/>
      <w:r w:rsidRPr="002D6880">
        <w:rPr>
          <w:rFonts w:asciiTheme="majorHAnsi" w:eastAsia="Times New Roman" w:hAnsiTheme="majorHAnsi" w:cs="Arial"/>
        </w:rPr>
        <w:t>Kuh</w:t>
      </w:r>
      <w:proofErr w:type="spellEnd"/>
      <w:r w:rsidRPr="002D6880">
        <w:rPr>
          <w:rFonts w:asciiTheme="majorHAnsi" w:eastAsia="Times New Roman" w:hAnsiTheme="majorHAnsi" w:cs="Arial"/>
        </w:rPr>
        <w:t xml:space="preserve">, G. D., </w:t>
      </w:r>
      <w:proofErr w:type="spellStart"/>
      <w:r w:rsidRPr="002D6880">
        <w:rPr>
          <w:rFonts w:asciiTheme="majorHAnsi" w:eastAsia="Times New Roman" w:hAnsiTheme="majorHAnsi" w:cs="Arial"/>
        </w:rPr>
        <w:t>Kinzie</w:t>
      </w:r>
      <w:proofErr w:type="spellEnd"/>
      <w:r w:rsidRPr="002D6880">
        <w:rPr>
          <w:rFonts w:asciiTheme="majorHAnsi" w:eastAsia="Times New Roman" w:hAnsiTheme="majorHAnsi" w:cs="Arial"/>
        </w:rPr>
        <w:t xml:space="preserve">, J., </w:t>
      </w:r>
      <w:proofErr w:type="spellStart"/>
      <w:r w:rsidRPr="002D6880">
        <w:rPr>
          <w:rFonts w:asciiTheme="majorHAnsi" w:eastAsia="Times New Roman" w:hAnsiTheme="majorHAnsi" w:cs="Arial"/>
        </w:rPr>
        <w:t>Schuh</w:t>
      </w:r>
      <w:proofErr w:type="spellEnd"/>
      <w:r w:rsidRPr="002D6880">
        <w:rPr>
          <w:rFonts w:asciiTheme="majorHAnsi" w:eastAsia="Times New Roman" w:hAnsiTheme="majorHAnsi" w:cs="Arial"/>
        </w:rPr>
        <w:t xml:space="preserve">, J.S., and Whitt, E.J. (2010). Student success in college: Creating conditions that matter. San Francisco, CA: </w:t>
      </w:r>
      <w:proofErr w:type="spellStart"/>
      <w:r w:rsidRPr="002D6880">
        <w:rPr>
          <w:rFonts w:asciiTheme="majorHAnsi" w:eastAsia="Times New Roman" w:hAnsiTheme="majorHAnsi" w:cs="Arial"/>
        </w:rPr>
        <w:t>Jossey</w:t>
      </w:r>
      <w:proofErr w:type="spellEnd"/>
      <w:r w:rsidRPr="002D6880">
        <w:rPr>
          <w:rFonts w:asciiTheme="majorHAnsi" w:eastAsia="Times New Roman" w:hAnsiTheme="majorHAnsi" w:cs="Arial"/>
        </w:rPr>
        <w:t>-Bass.</w:t>
      </w:r>
    </w:p>
    <w:p w14:paraId="3F1A6718" w14:textId="77777777" w:rsidR="00476CE1" w:rsidRPr="002D6880" w:rsidRDefault="00476CE1" w:rsidP="00476CE1">
      <w:pPr>
        <w:spacing w:before="100" w:beforeAutospacing="1" w:after="100" w:afterAutospacing="1"/>
        <w:rPr>
          <w:rFonts w:asciiTheme="majorHAnsi" w:eastAsia="Times New Roman" w:hAnsiTheme="majorHAnsi" w:cs="Arial"/>
        </w:rPr>
      </w:pPr>
      <w:r w:rsidRPr="002D6880">
        <w:rPr>
          <w:rFonts w:asciiTheme="majorHAnsi" w:eastAsia="Times New Roman" w:hAnsiTheme="majorHAnsi" w:cs="Arial"/>
        </w:rPr>
        <w:t>Nicol, David J., &amp; Macfarlane</w:t>
      </w:r>
      <w:r w:rsidRPr="002D6880">
        <w:rPr>
          <w:rFonts w:asciiTheme="majorHAnsi" w:eastAsia="Times New Roman" w:hAnsiTheme="majorHAnsi" w:cs="Cambria Math"/>
        </w:rPr>
        <w:t>‐</w:t>
      </w:r>
      <w:r w:rsidRPr="002D6880">
        <w:rPr>
          <w:rFonts w:asciiTheme="majorHAnsi" w:eastAsia="Times New Roman" w:hAnsiTheme="majorHAnsi" w:cs="Arial"/>
        </w:rPr>
        <w:t>Dick, D. (2006). Formative assessment and self</w:t>
      </w:r>
      <w:r w:rsidRPr="002D6880">
        <w:rPr>
          <w:rFonts w:asciiTheme="majorHAnsi" w:eastAsia="Times New Roman" w:hAnsiTheme="majorHAnsi" w:cs="Cambria Math"/>
        </w:rPr>
        <w:t>‐</w:t>
      </w:r>
      <w:r w:rsidRPr="002D6880">
        <w:rPr>
          <w:rFonts w:asciiTheme="majorHAnsi" w:eastAsia="Times New Roman" w:hAnsiTheme="majorHAnsi" w:cs="Arial"/>
        </w:rPr>
        <w:t>regulated learning: a model and seven principles of good feedback practice. Studies in Higher Education,</w:t>
      </w:r>
      <w:r w:rsidRPr="002D6880">
        <w:rPr>
          <w:rFonts w:asciiTheme="majorHAnsi" w:eastAsia="Times New Roman" w:hAnsiTheme="majorHAnsi" w:cs="Arial"/>
          <w:u w:val="single"/>
        </w:rPr>
        <w:t xml:space="preserve"> </w:t>
      </w:r>
      <w:r w:rsidRPr="002D6880">
        <w:rPr>
          <w:rFonts w:asciiTheme="majorHAnsi" w:eastAsia="Times New Roman" w:hAnsiTheme="majorHAnsi" w:cs="Arial"/>
        </w:rPr>
        <w:t>31(2).</w:t>
      </w:r>
    </w:p>
    <w:p w14:paraId="72F1DF94" w14:textId="77777777" w:rsidR="00476CE1" w:rsidRPr="002D6880" w:rsidRDefault="00476CE1" w:rsidP="00476CE1">
      <w:pPr>
        <w:spacing w:before="100" w:beforeAutospacing="1" w:after="100" w:afterAutospacing="1"/>
        <w:rPr>
          <w:rFonts w:asciiTheme="majorHAnsi" w:eastAsia="Times New Roman" w:hAnsiTheme="majorHAnsi" w:cs="Arial"/>
        </w:rPr>
      </w:pPr>
      <w:proofErr w:type="spellStart"/>
      <w:r w:rsidRPr="002D6880">
        <w:rPr>
          <w:rFonts w:asciiTheme="majorHAnsi" w:eastAsia="Times New Roman" w:hAnsiTheme="majorHAnsi" w:cs="Arial"/>
        </w:rPr>
        <w:t>Nilson</w:t>
      </w:r>
      <w:proofErr w:type="spellEnd"/>
      <w:r w:rsidRPr="002D6880">
        <w:rPr>
          <w:rFonts w:asciiTheme="majorHAnsi" w:eastAsia="Times New Roman" w:hAnsiTheme="majorHAnsi" w:cs="Arial"/>
        </w:rPr>
        <w:t xml:space="preserve">, L. B. (2010). Teaching at its best: A research-based resource for college instructors. San Francisco: </w:t>
      </w:r>
      <w:proofErr w:type="spellStart"/>
      <w:r w:rsidRPr="002D6880">
        <w:rPr>
          <w:rFonts w:asciiTheme="majorHAnsi" w:eastAsia="Times New Roman" w:hAnsiTheme="majorHAnsi" w:cs="Arial"/>
        </w:rPr>
        <w:t>Jossey</w:t>
      </w:r>
      <w:proofErr w:type="spellEnd"/>
      <w:r w:rsidRPr="002D6880">
        <w:rPr>
          <w:rFonts w:asciiTheme="majorHAnsi" w:eastAsia="Times New Roman" w:hAnsiTheme="majorHAnsi" w:cs="Arial"/>
        </w:rPr>
        <w:t>-Bass.</w:t>
      </w:r>
    </w:p>
    <w:p w14:paraId="441B2521" w14:textId="77777777" w:rsidR="00476CE1" w:rsidRPr="002D6880" w:rsidRDefault="00476CE1" w:rsidP="00476CE1">
      <w:pPr>
        <w:spacing w:before="100" w:beforeAutospacing="1" w:after="100" w:afterAutospacing="1"/>
        <w:rPr>
          <w:rFonts w:asciiTheme="majorHAnsi" w:eastAsia="Times New Roman" w:hAnsiTheme="majorHAnsi" w:cs="Arial"/>
        </w:rPr>
      </w:pPr>
      <w:r w:rsidRPr="002D6880">
        <w:rPr>
          <w:rFonts w:asciiTheme="majorHAnsi" w:eastAsia="Times New Roman" w:hAnsiTheme="majorHAnsi" w:cs="Arial"/>
        </w:rPr>
        <w:t xml:space="preserve">Tinto, V. (2012). </w:t>
      </w:r>
      <w:r w:rsidRPr="002D6880">
        <w:rPr>
          <w:rFonts w:asciiTheme="majorHAnsi" w:eastAsia="Times New Roman" w:hAnsiTheme="majorHAnsi" w:cs="Arial"/>
          <w:i/>
          <w:iCs/>
        </w:rPr>
        <w:t xml:space="preserve">Completing college: Rethinking institutional action. </w:t>
      </w:r>
      <w:r w:rsidRPr="002D6880">
        <w:rPr>
          <w:rFonts w:asciiTheme="majorHAnsi" w:eastAsia="Times New Roman" w:hAnsiTheme="majorHAnsi" w:cs="Arial"/>
        </w:rPr>
        <w:t>Chicago, IL: University of Chicago Press.</w:t>
      </w:r>
    </w:p>
    <w:p w14:paraId="606C4046" w14:textId="77777777" w:rsidR="00476CE1" w:rsidRPr="007B1F3C" w:rsidRDefault="00476CE1" w:rsidP="00476CE1">
      <w:pPr>
        <w:spacing w:after="0" w:line="240" w:lineRule="auto"/>
        <w:rPr>
          <w:rFonts w:eastAsia="Times New Roman" w:cs="Arial"/>
          <w:b/>
        </w:rPr>
      </w:pPr>
      <w:r w:rsidRPr="007B1F3C">
        <w:rPr>
          <w:rFonts w:eastAsia="Times New Roman" w:cs="Arial"/>
          <w:b/>
        </w:rPr>
        <w:t>Submitted by</w:t>
      </w:r>
      <w:r>
        <w:rPr>
          <w:rFonts w:eastAsia="Times New Roman" w:cs="Arial"/>
          <w:b/>
        </w:rPr>
        <w:t>:</w:t>
      </w:r>
    </w:p>
    <w:p w14:paraId="33EA9CBD" w14:textId="77777777" w:rsidR="00476CE1" w:rsidRPr="007B1F3C" w:rsidRDefault="00476CE1" w:rsidP="00476CE1">
      <w:pPr>
        <w:spacing w:after="0" w:line="240" w:lineRule="auto"/>
        <w:rPr>
          <w:rFonts w:eastAsia="Times New Roman" w:cs="Times New Roman"/>
          <w:bCs/>
          <w:iCs/>
        </w:rPr>
      </w:pPr>
      <w:r w:rsidRPr="007B1F3C">
        <w:rPr>
          <w:rFonts w:eastAsia="Times New Roman" w:cs="Times New Roman"/>
          <w:bCs/>
          <w:iCs/>
        </w:rPr>
        <w:t>Kim Vincent-Layton</w:t>
      </w:r>
    </w:p>
    <w:p w14:paraId="4A8BDA4C" w14:textId="77777777" w:rsidR="00476CE1" w:rsidRPr="007B1F3C" w:rsidRDefault="00476CE1" w:rsidP="00476CE1">
      <w:pPr>
        <w:spacing w:after="0" w:line="240" w:lineRule="auto"/>
        <w:rPr>
          <w:rFonts w:eastAsia="Times New Roman" w:cs="Times New Roman"/>
          <w:bCs/>
          <w:iCs/>
        </w:rPr>
      </w:pPr>
      <w:r w:rsidRPr="007B1F3C">
        <w:rPr>
          <w:rFonts w:eastAsia="Times New Roman" w:cs="Times New Roman"/>
          <w:bCs/>
          <w:iCs/>
        </w:rPr>
        <w:t>Center for Teaching and Learning</w:t>
      </w:r>
    </w:p>
    <w:p w14:paraId="72427511" w14:textId="77777777" w:rsidR="00476CE1" w:rsidRDefault="00476CE1" w:rsidP="00476CE1">
      <w:pPr>
        <w:spacing w:after="0" w:line="240" w:lineRule="auto"/>
        <w:rPr>
          <w:rFonts w:eastAsia="Times New Roman" w:cs="Times New Roman"/>
          <w:bCs/>
          <w:iCs/>
        </w:rPr>
      </w:pPr>
      <w:r w:rsidRPr="007B1F3C">
        <w:rPr>
          <w:rFonts w:eastAsia="Times New Roman" w:cs="Times New Roman"/>
          <w:bCs/>
          <w:iCs/>
        </w:rPr>
        <w:t>Humboldt State University</w:t>
      </w:r>
    </w:p>
    <w:p w14:paraId="7A91F6BF" w14:textId="77777777" w:rsidR="00476CE1" w:rsidRPr="007B1F3C" w:rsidRDefault="00476CE1" w:rsidP="00476CE1">
      <w:pPr>
        <w:spacing w:after="0" w:line="240" w:lineRule="auto"/>
        <w:rPr>
          <w:rFonts w:eastAsia="Times New Roman" w:cs="Times New Roman"/>
          <w:bCs/>
          <w:iCs/>
        </w:rPr>
      </w:pPr>
    </w:p>
    <w:p w14:paraId="4CB3FB0B" w14:textId="77777777" w:rsidR="00476CE1" w:rsidRPr="007B1F3C" w:rsidRDefault="00476CE1" w:rsidP="00476CE1">
      <w:pPr>
        <w:spacing w:after="0" w:line="240" w:lineRule="auto"/>
        <w:rPr>
          <w:rFonts w:eastAsia="Times New Roman" w:cs="Times New Roman"/>
          <w:bCs/>
          <w:iCs/>
        </w:rPr>
      </w:pPr>
      <w:r w:rsidRPr="007B1F3C">
        <w:rPr>
          <w:rFonts w:eastAsia="Times New Roman" w:cs="Times New Roman"/>
          <w:bCs/>
          <w:iCs/>
        </w:rPr>
        <w:t xml:space="preserve">Website: </w:t>
      </w:r>
      <w:hyperlink r:id="rId6" w:history="1">
        <w:r w:rsidRPr="007B1F3C">
          <w:rPr>
            <w:rStyle w:val="Hyperlink"/>
            <w:rFonts w:cs="Times New Roman"/>
            <w:bCs/>
            <w:iCs/>
          </w:rPr>
          <w:t>https://ctl.humboldt.edu/</w:t>
        </w:r>
      </w:hyperlink>
    </w:p>
    <w:p w14:paraId="2FB2A000" w14:textId="77777777" w:rsidR="00476CE1" w:rsidRPr="007B1F3C" w:rsidRDefault="00476CE1" w:rsidP="00476CE1">
      <w:pPr>
        <w:spacing w:after="0" w:line="240" w:lineRule="auto"/>
        <w:rPr>
          <w:rFonts w:eastAsia="Times New Roman" w:cs="Times New Roman"/>
          <w:bCs/>
          <w:iCs/>
        </w:rPr>
      </w:pPr>
      <w:r w:rsidRPr="007B1F3C">
        <w:rPr>
          <w:rFonts w:eastAsia="Times New Roman" w:cs="Times New Roman"/>
          <w:bCs/>
          <w:iCs/>
        </w:rPr>
        <w:t>Twitter: @</w:t>
      </w:r>
      <w:proofErr w:type="spellStart"/>
      <w:r w:rsidRPr="007B1F3C">
        <w:rPr>
          <w:rFonts w:eastAsia="Times New Roman" w:cs="Times New Roman"/>
          <w:bCs/>
          <w:iCs/>
        </w:rPr>
        <w:t>kvlayton</w:t>
      </w:r>
      <w:proofErr w:type="spellEnd"/>
    </w:p>
    <w:p w14:paraId="72B0F305" w14:textId="77777777" w:rsidR="00476CE1" w:rsidRPr="007B1F3C" w:rsidRDefault="00476CE1" w:rsidP="00476CE1">
      <w:pPr>
        <w:spacing w:after="0" w:line="240" w:lineRule="auto"/>
        <w:rPr>
          <w:rFonts w:eastAsia="Times New Roman" w:cs="Times New Roman"/>
          <w:bCs/>
          <w:iCs/>
        </w:rPr>
      </w:pPr>
      <w:r w:rsidRPr="007B1F3C">
        <w:rPr>
          <w:rFonts w:eastAsia="Times New Roman" w:cs="Times New Roman"/>
          <w:bCs/>
          <w:iCs/>
        </w:rPr>
        <w:t xml:space="preserve">LinkedIn: </w:t>
      </w:r>
      <w:hyperlink r:id="rId7" w:history="1">
        <w:r w:rsidRPr="007B1F3C">
          <w:rPr>
            <w:rStyle w:val="Hyperlink"/>
            <w:rFonts w:cs="Times New Roman"/>
            <w:bCs/>
            <w:iCs/>
          </w:rPr>
          <w:t>https://www.linkedin.com/in/kimvincentlayton/</w:t>
        </w:r>
      </w:hyperlink>
    </w:p>
    <w:p w14:paraId="0967EA8D" w14:textId="77777777" w:rsidR="00476CE1" w:rsidRPr="007B1F3C" w:rsidRDefault="00476CE1" w:rsidP="00476CE1">
      <w:pPr>
        <w:spacing w:after="0" w:line="240" w:lineRule="auto"/>
        <w:rPr>
          <w:rStyle w:val="Hyperlink"/>
          <w:rFonts w:cs="Times New Roman"/>
          <w:bCs/>
          <w:iCs/>
        </w:rPr>
      </w:pPr>
      <w:r w:rsidRPr="007B1F3C">
        <w:rPr>
          <w:rFonts w:eastAsia="Times New Roman" w:cs="Times New Roman"/>
          <w:bCs/>
          <w:iCs/>
        </w:rPr>
        <w:t xml:space="preserve">Blog: </w:t>
      </w:r>
      <w:hyperlink r:id="rId8" w:history="1">
        <w:r w:rsidRPr="007B1F3C">
          <w:rPr>
            <w:rStyle w:val="Hyperlink"/>
            <w:rFonts w:cs="Times New Roman"/>
            <w:bCs/>
            <w:iCs/>
          </w:rPr>
          <w:t>https://techlearnfun.wordpress.com/</w:t>
        </w:r>
      </w:hyperlink>
    </w:p>
    <w:p w14:paraId="729DCDB4" w14:textId="77777777" w:rsidR="008940CD" w:rsidRDefault="00476CE1" w:rsidP="00476CE1">
      <w:pPr>
        <w:spacing w:after="0" w:line="240" w:lineRule="auto"/>
      </w:pPr>
      <w:r w:rsidRPr="007B1F3C">
        <w:rPr>
          <w:rFonts w:eastAsia="Times New Roman" w:cs="Times New Roman"/>
          <w:bCs/>
          <w:i/>
          <w:iCs/>
          <w:noProof/>
          <w:lang w:eastAsia="zh-CN"/>
        </w:rPr>
        <w:drawing>
          <wp:inline distT="0" distB="0" distL="0" distR="0" wp14:anchorId="3129EC37" wp14:editId="3057CAAE">
            <wp:extent cx="573100" cy="214685"/>
            <wp:effectExtent l="0" t="0" r="0" b="0"/>
            <wp:docPr id="9" name="Picture 9" descr="creative commons licen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BY NC 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964" cy="231866"/>
                    </a:xfrm>
                    <a:prstGeom prst="rect">
                      <a:avLst/>
                    </a:prstGeom>
                  </pic:spPr>
                </pic:pic>
              </a:graphicData>
            </a:graphic>
          </wp:inline>
        </w:drawing>
      </w:r>
      <w:bookmarkStart w:id="1" w:name="_GoBack"/>
      <w:bookmarkEnd w:id="1"/>
    </w:p>
    <w:sectPr w:rsidR="0089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E51"/>
    <w:multiLevelType w:val="multilevel"/>
    <w:tmpl w:val="7E4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83D31"/>
    <w:multiLevelType w:val="multilevel"/>
    <w:tmpl w:val="A33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C169C"/>
    <w:multiLevelType w:val="multilevel"/>
    <w:tmpl w:val="373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YwMzUxNLAwNDRS0lEKTi0uzszPAykwrAUAEn+FUywAAAA="/>
  </w:docVars>
  <w:rsids>
    <w:rsidRoot w:val="00476CE1"/>
    <w:rsid w:val="00476CE1"/>
    <w:rsid w:val="0089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019"/>
  <w15:chartTrackingRefBased/>
  <w15:docId w15:val="{EBFA8D2A-AB11-4D9A-896F-5A29CA63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E1"/>
    <w:rPr>
      <w:rFonts w:eastAsiaTheme="minorHAnsi"/>
      <w:lang w:eastAsia="en-US"/>
    </w:rPr>
  </w:style>
  <w:style w:type="paragraph" w:styleId="Heading1">
    <w:name w:val="heading 1"/>
    <w:basedOn w:val="Normal"/>
    <w:next w:val="Normal"/>
    <w:link w:val="Heading1Char"/>
    <w:autoRedefine/>
    <w:uiPriority w:val="9"/>
    <w:qFormat/>
    <w:rsid w:val="00476CE1"/>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paragraph" w:styleId="Heading2">
    <w:name w:val="heading 2"/>
    <w:basedOn w:val="Normal"/>
    <w:next w:val="Normal"/>
    <w:link w:val="Heading2Char"/>
    <w:autoRedefine/>
    <w:uiPriority w:val="9"/>
    <w:unhideWhenUsed/>
    <w:qFormat/>
    <w:rsid w:val="00476CE1"/>
    <w:pPr>
      <w:keepNext/>
      <w:keepLines/>
      <w:spacing w:after="0" w:line="240" w:lineRule="auto"/>
      <w:outlineLvl w:val="1"/>
    </w:pPr>
    <w:rPr>
      <w:rFonts w:asciiTheme="majorHAnsi" w:eastAsia="Times New Roman"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CE1"/>
    <w:rPr>
      <w:rFonts w:ascii="Georgia" w:eastAsia="Roboto" w:hAnsi="Georgia" w:cs="Times New Roman"/>
      <w:color w:val="2E74B5" w:themeColor="accent1" w:themeShade="BF"/>
      <w:sz w:val="31"/>
      <w:szCs w:val="31"/>
      <w:lang w:eastAsia="en-US"/>
    </w:rPr>
  </w:style>
  <w:style w:type="character" w:customStyle="1" w:styleId="Heading2Char">
    <w:name w:val="Heading 2 Char"/>
    <w:basedOn w:val="DefaultParagraphFont"/>
    <w:link w:val="Heading2"/>
    <w:uiPriority w:val="9"/>
    <w:rsid w:val="00476CE1"/>
    <w:rPr>
      <w:rFonts w:asciiTheme="majorHAnsi" w:eastAsia="Times New Roman"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476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learnfun.wordpress.com/" TargetMode="External"/><Relationship Id="rId3" Type="http://schemas.openxmlformats.org/officeDocument/2006/relationships/settings" Target="settings.xml"/><Relationship Id="rId7" Type="http://schemas.openxmlformats.org/officeDocument/2006/relationships/hyperlink" Target="https://www.linkedin.com/in/kimvincentlay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l.humboldt.edu/" TargetMode="External"/><Relationship Id="rId11" Type="http://schemas.openxmlformats.org/officeDocument/2006/relationships/theme" Target="theme/theme1.xml"/><Relationship Id="rId5" Type="http://schemas.openxmlformats.org/officeDocument/2006/relationships/hyperlink" Target="http://www.csu.edu.au/student/transition/deliverables/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2018-07-17T17:44:00Z</dcterms:created>
  <dcterms:modified xsi:type="dcterms:W3CDTF">2018-07-17T17:45:00Z</dcterms:modified>
</cp:coreProperties>
</file>