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A0A30" w14:textId="77777777" w:rsidR="0037406A" w:rsidRDefault="0037406A" w:rsidP="0037406A">
      <w:pPr>
        <w:pStyle w:val="Heading1"/>
      </w:pPr>
      <w:bookmarkStart w:id="0" w:name="_Toc519497603"/>
      <w:r>
        <w:t>Set Reasonable Expectations for your Availability</w:t>
      </w:r>
      <w:bookmarkEnd w:id="0"/>
    </w:p>
    <w:p w14:paraId="2DB5A928" w14:textId="77777777" w:rsidR="0037406A" w:rsidRDefault="0037406A" w:rsidP="0037406A">
      <w:pPr>
        <w:spacing w:after="0" w:line="240" w:lineRule="auto"/>
      </w:pPr>
    </w:p>
    <w:p w14:paraId="2D273594" w14:textId="77777777" w:rsidR="0037406A" w:rsidRDefault="0037406A" w:rsidP="0037406A">
      <w:pPr>
        <w:spacing w:after="0" w:line="240" w:lineRule="auto"/>
      </w:pPr>
      <w:r>
        <w:t>In this age of twitter and text messages, faculty fear that students expect near-instantaneous responses to their questions. I hear this especially when talking with faculty about adding an online component to their courses. One way to manage student expectations is by being proactive and communicating your availability up-front and often.  I suggest a two-part solution to my faculty:</w:t>
      </w:r>
    </w:p>
    <w:p w14:paraId="543F44A2" w14:textId="77777777" w:rsidR="0037406A" w:rsidRDefault="0037406A" w:rsidP="0037406A">
      <w:pPr>
        <w:spacing w:after="0" w:line="240" w:lineRule="auto"/>
      </w:pPr>
    </w:p>
    <w:p w14:paraId="1A38DAD6" w14:textId="77777777" w:rsidR="0037406A" w:rsidRDefault="0037406A" w:rsidP="0037406A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Use the discussion board in your LMS, and create a forum called “Instructor’s Office.” </w:t>
      </w:r>
    </w:p>
    <w:p w14:paraId="1230115F" w14:textId="77777777" w:rsidR="0037406A" w:rsidRDefault="0037406A" w:rsidP="0037406A">
      <w:pPr>
        <w:pStyle w:val="ListParagraph"/>
        <w:spacing w:after="0" w:line="240" w:lineRule="auto"/>
        <w:contextualSpacing w:val="0"/>
      </w:pPr>
    </w:p>
    <w:p w14:paraId="591723E1" w14:textId="77777777" w:rsidR="0037406A" w:rsidRDefault="0037406A" w:rsidP="0037406A">
      <w:pPr>
        <w:pStyle w:val="ListParagraph"/>
        <w:spacing w:after="0" w:line="240" w:lineRule="auto"/>
        <w:contextualSpacing w:val="0"/>
      </w:pPr>
      <w:r>
        <w:t xml:space="preserve">Tell students that this is the place to post any questions about the course, whether </w:t>
      </w:r>
      <w:proofErr w:type="gramStart"/>
      <w:r>
        <w:t>it’s</w:t>
      </w:r>
      <w:proofErr w:type="gramEnd"/>
      <w:r>
        <w:t xml:space="preserve"> about content or an assignment. That way every student can see all the questions and answers. The only time a student should contact you privately should be when the question concerns a grade, or another confidential matter.</w:t>
      </w:r>
    </w:p>
    <w:p w14:paraId="67C85BAF" w14:textId="77777777" w:rsidR="0037406A" w:rsidRDefault="0037406A" w:rsidP="0037406A">
      <w:pPr>
        <w:pStyle w:val="ListParagraph"/>
        <w:spacing w:after="0" w:line="240" w:lineRule="auto"/>
        <w:contextualSpacing w:val="0"/>
      </w:pPr>
    </w:p>
    <w:p w14:paraId="0C722676" w14:textId="77777777" w:rsidR="0037406A" w:rsidRDefault="0037406A" w:rsidP="0037406A">
      <w:pPr>
        <w:pStyle w:val="ListParagraph"/>
        <w:spacing w:after="0" w:line="240" w:lineRule="auto"/>
        <w:contextualSpacing w:val="0"/>
      </w:pPr>
      <w:r>
        <w:t>If a student sends you a question by email, respond “What a great question! I’m going to respond in the “Instructor’s Office” forum so everyone can see the Q&amp;A.” When posting the question, start with “This question came to me via email, but I am answering it here so you all can benefit.” After this happens a few times, students will quickly catch on.</w:t>
      </w:r>
    </w:p>
    <w:p w14:paraId="123A4733" w14:textId="77777777" w:rsidR="0037406A" w:rsidRDefault="0037406A" w:rsidP="0037406A">
      <w:pPr>
        <w:pStyle w:val="ListParagraph"/>
        <w:spacing w:after="0" w:line="240" w:lineRule="auto"/>
        <w:contextualSpacing w:val="0"/>
      </w:pPr>
    </w:p>
    <w:p w14:paraId="60CA2A32" w14:textId="77777777" w:rsidR="0037406A" w:rsidRDefault="0037406A" w:rsidP="0037406A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Tell students when they can expect you to access the discussion forum, so they can anticipate your response time. I put this information in my syllabus, telling students that I check the “Instructor’s Office” first, before doing anything else, so posting their questions there is the best way to ensure a response. I indicate my availability in broad strokes, using a table. For an online class, or a course with a lot of homework, the table might look something like this:</w:t>
      </w:r>
    </w:p>
    <w:p w14:paraId="46C1A29F" w14:textId="77777777" w:rsidR="0037406A" w:rsidRDefault="0037406A" w:rsidP="0037406A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sample schedule"/>
      </w:tblPr>
      <w:tblGrid>
        <w:gridCol w:w="1149"/>
        <w:gridCol w:w="1049"/>
        <w:gridCol w:w="1048"/>
        <w:gridCol w:w="1269"/>
        <w:gridCol w:w="1095"/>
        <w:gridCol w:w="941"/>
        <w:gridCol w:w="1079"/>
        <w:gridCol w:w="1000"/>
      </w:tblGrid>
      <w:tr w:rsidR="0037406A" w14:paraId="0B705C3B" w14:textId="77777777" w:rsidTr="007B7B7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7B2B" w14:textId="77777777" w:rsidR="0037406A" w:rsidRDefault="0037406A" w:rsidP="007B7B75">
            <w:r>
              <w:t>Time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C616" w14:textId="77777777" w:rsidR="0037406A" w:rsidRDefault="0037406A" w:rsidP="007B7B75">
            <w:r>
              <w:t>Monday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0CEF" w14:textId="77777777" w:rsidR="0037406A" w:rsidRDefault="0037406A" w:rsidP="007B7B75">
            <w:r>
              <w:t>Tuesday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2FF4" w14:textId="77777777" w:rsidR="0037406A" w:rsidRDefault="0037406A" w:rsidP="007B7B75">
            <w:r>
              <w:t>Wednesday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5251" w14:textId="77777777" w:rsidR="0037406A" w:rsidRDefault="0037406A" w:rsidP="007B7B75">
            <w:r>
              <w:t>Thursday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F3D8" w14:textId="77777777" w:rsidR="0037406A" w:rsidRDefault="0037406A" w:rsidP="007B7B75">
            <w:r>
              <w:t>Friday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A094" w14:textId="77777777" w:rsidR="0037406A" w:rsidRDefault="0037406A" w:rsidP="007B7B75">
            <w:r>
              <w:t>Saturday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1206" w14:textId="77777777" w:rsidR="0037406A" w:rsidRDefault="0037406A" w:rsidP="007B7B75">
            <w:r>
              <w:t>Sunday</w:t>
            </w:r>
          </w:p>
        </w:tc>
      </w:tr>
      <w:tr w:rsidR="0037406A" w14:paraId="487F88A5" w14:textId="77777777" w:rsidTr="007B7B7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F40F" w14:textId="77777777" w:rsidR="0037406A" w:rsidRDefault="0037406A" w:rsidP="007B7B75">
            <w:r>
              <w:t>Morning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DF3B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B6F9" w14:textId="77777777" w:rsidR="0037406A" w:rsidRDefault="0037406A" w:rsidP="007B7B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2E73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A9E6" w14:textId="77777777" w:rsidR="0037406A" w:rsidRDefault="0037406A" w:rsidP="007B7B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844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F22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A71" w14:textId="77777777" w:rsidR="0037406A" w:rsidRDefault="0037406A" w:rsidP="007B7B75">
            <w:pPr>
              <w:jc w:val="center"/>
              <w:rPr>
                <w:b/>
              </w:rPr>
            </w:pPr>
          </w:p>
        </w:tc>
      </w:tr>
      <w:tr w:rsidR="0037406A" w14:paraId="0603E55D" w14:textId="77777777" w:rsidTr="007B7B7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F0C4" w14:textId="77777777" w:rsidR="0037406A" w:rsidRDefault="0037406A" w:rsidP="007B7B75">
            <w:r>
              <w:t>Mid-day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C58" w14:textId="77777777" w:rsidR="0037406A" w:rsidRDefault="0037406A" w:rsidP="007B7B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6FA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58B4" w14:textId="77777777" w:rsidR="0037406A" w:rsidRDefault="0037406A" w:rsidP="007B7B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9BC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81EB" w14:textId="77777777" w:rsidR="0037406A" w:rsidRDefault="0037406A" w:rsidP="007B7B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F14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969" w14:textId="77777777" w:rsidR="0037406A" w:rsidRDefault="0037406A" w:rsidP="007B7B75">
            <w:pPr>
              <w:jc w:val="center"/>
              <w:rPr>
                <w:b/>
              </w:rPr>
            </w:pPr>
          </w:p>
        </w:tc>
      </w:tr>
      <w:tr w:rsidR="0037406A" w14:paraId="56E81EDD" w14:textId="77777777" w:rsidTr="007B7B7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C9C5" w14:textId="77777777" w:rsidR="0037406A" w:rsidRDefault="0037406A" w:rsidP="007B7B75">
            <w:r>
              <w:t>Afternoon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21E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C3C8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C86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C6BD" w14:textId="77777777" w:rsidR="0037406A" w:rsidRDefault="0037406A" w:rsidP="007B7B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422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D2B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B2AB" w14:textId="77777777" w:rsidR="0037406A" w:rsidRDefault="0037406A" w:rsidP="007B7B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7406A" w14:paraId="24C80D5C" w14:textId="77777777" w:rsidTr="007B7B7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EED6" w14:textId="77777777" w:rsidR="0037406A" w:rsidRDefault="0037406A" w:rsidP="007B7B75">
            <w:r>
              <w:t>Evening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675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D19E" w14:textId="77777777" w:rsidR="0037406A" w:rsidRDefault="0037406A" w:rsidP="007B7B7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F71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21B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0C4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1BE5" w14:textId="77777777" w:rsidR="0037406A" w:rsidRDefault="0037406A" w:rsidP="007B7B7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7C1" w14:textId="77777777" w:rsidR="0037406A" w:rsidRDefault="0037406A" w:rsidP="007B7B75">
            <w:pPr>
              <w:jc w:val="center"/>
              <w:rPr>
                <w:b/>
              </w:rPr>
            </w:pPr>
          </w:p>
        </w:tc>
      </w:tr>
    </w:tbl>
    <w:p w14:paraId="29B53886" w14:textId="77777777" w:rsidR="0037406A" w:rsidRDefault="0037406A" w:rsidP="0037406A">
      <w:pPr>
        <w:spacing w:after="0" w:line="240" w:lineRule="auto"/>
        <w:ind w:left="720"/>
      </w:pPr>
    </w:p>
    <w:p w14:paraId="284625B4" w14:textId="77777777" w:rsidR="0037406A" w:rsidRDefault="0037406A" w:rsidP="0037406A">
      <w:pPr>
        <w:spacing w:after="0" w:line="240" w:lineRule="auto"/>
        <w:ind w:left="720"/>
      </w:pPr>
      <w:r>
        <w:t xml:space="preserve">If the box is checked, </w:t>
      </w:r>
      <w:proofErr w:type="gramStart"/>
      <w:r>
        <w:t>it’s</w:t>
      </w:r>
      <w:proofErr w:type="gramEnd"/>
      <w:r>
        <w:t xml:space="preserve"> a guarantee that at some point during that time frame, I will log in and address the posted questions. I might log in more frequently, but never less. In the above example, </w:t>
      </w:r>
      <w:proofErr w:type="gramStart"/>
      <w:r>
        <w:t>I’m</w:t>
      </w:r>
      <w:proofErr w:type="gramEnd"/>
      <w:r>
        <w:t xml:space="preserve"> checking in once or twice a day – on the assumption that a student who has posted a question about an assignment cannot proceed without the response. In a face-to-face course that is primarily reading-based, I might modify the table to only once a day. </w:t>
      </w:r>
    </w:p>
    <w:p w14:paraId="262126A3" w14:textId="77777777" w:rsidR="0037406A" w:rsidRDefault="0037406A" w:rsidP="0037406A">
      <w:pPr>
        <w:spacing w:after="0" w:line="240" w:lineRule="auto"/>
      </w:pPr>
    </w:p>
    <w:p w14:paraId="60D3F030" w14:textId="77777777" w:rsidR="0037406A" w:rsidRDefault="0037406A" w:rsidP="0037406A">
      <w:pPr>
        <w:spacing w:after="0" w:line="240" w:lineRule="auto"/>
      </w:pPr>
      <w:r>
        <w:t xml:space="preserve">The system works well – students know when they post a question how long to expect before checking back. Sometimes, I find that students have answered </w:t>
      </w:r>
      <w:proofErr w:type="spellStart"/>
      <w:r>
        <w:t xml:space="preserve">each </w:t>
      </w:r>
      <w:proofErr w:type="gramStart"/>
      <w:r>
        <w:t>others’</w:t>
      </w:r>
      <w:proofErr w:type="spellEnd"/>
      <w:proofErr w:type="gramEnd"/>
      <w:r>
        <w:t xml:space="preserve"> questions about the content, and all I need to do is confirm that they are on the right track. In practice, each login often takes only a few minutes, because there are relatively few questions each time. I have an enduring record of the Q&amp;A in each course, and my email box is not as stuffed.</w:t>
      </w:r>
    </w:p>
    <w:p w14:paraId="3DB24B63" w14:textId="77777777" w:rsidR="0037406A" w:rsidRDefault="0037406A" w:rsidP="0037406A">
      <w:pPr>
        <w:spacing w:after="0" w:line="240" w:lineRule="auto"/>
      </w:pPr>
    </w:p>
    <w:p w14:paraId="7C02E8A8" w14:textId="77777777" w:rsidR="0037406A" w:rsidRPr="00EC16E8" w:rsidRDefault="0037406A" w:rsidP="0037406A">
      <w:pPr>
        <w:spacing w:after="0" w:line="240" w:lineRule="auto"/>
        <w:rPr>
          <w:b/>
        </w:rPr>
      </w:pPr>
      <w:r w:rsidRPr="00EC16E8">
        <w:rPr>
          <w:b/>
        </w:rPr>
        <w:t>Submitted by:</w:t>
      </w:r>
    </w:p>
    <w:p w14:paraId="16A4711E" w14:textId="77777777" w:rsidR="0037406A" w:rsidRDefault="0037406A" w:rsidP="0037406A">
      <w:pPr>
        <w:spacing w:after="0" w:line="240" w:lineRule="auto"/>
      </w:pPr>
      <w:r>
        <w:t>Francine Glazer, PhD</w:t>
      </w:r>
    </w:p>
    <w:p w14:paraId="3D943795" w14:textId="77777777" w:rsidR="0037406A" w:rsidRDefault="0037406A" w:rsidP="0037406A">
      <w:pPr>
        <w:spacing w:after="0" w:line="240" w:lineRule="auto"/>
      </w:pPr>
      <w:r>
        <w:t>Associate Provost for Educational Innovation | Director, Center for Teaching and Learning</w:t>
      </w:r>
    </w:p>
    <w:p w14:paraId="7A2524FE" w14:textId="77777777" w:rsidR="000A5121" w:rsidRDefault="0037406A" w:rsidP="0037406A">
      <w:pPr>
        <w:spacing w:after="0" w:line="240" w:lineRule="auto"/>
      </w:pPr>
      <w:r>
        <w:t>New York Institute of Technology</w:t>
      </w:r>
      <w:bookmarkStart w:id="1" w:name="_GoBack"/>
      <w:bookmarkEnd w:id="1"/>
    </w:p>
    <w:sectPr w:rsidR="000A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62A8"/>
    <w:multiLevelType w:val="hybridMultilevel"/>
    <w:tmpl w:val="35206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6A"/>
    <w:rsid w:val="000A5121"/>
    <w:rsid w:val="003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0665"/>
  <w15:chartTrackingRefBased/>
  <w15:docId w15:val="{3EECA0C9-AC34-4365-887F-034F8D4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6A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406A"/>
    <w:pPr>
      <w:keepNext/>
      <w:keepLines/>
      <w:spacing w:after="0" w:line="240" w:lineRule="auto"/>
      <w:jc w:val="center"/>
      <w:outlineLvl w:val="0"/>
    </w:pPr>
    <w:rPr>
      <w:rFonts w:ascii="Georgia" w:eastAsia="Roboto" w:hAnsi="Georgia" w:cs="Times New Roman"/>
      <w:color w:val="2E74B5" w:themeColor="accent1" w:themeShade="BF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06A"/>
    <w:rPr>
      <w:rFonts w:ascii="Georgia" w:eastAsia="Roboto" w:hAnsi="Georgia" w:cs="Times New Roman"/>
      <w:color w:val="2E74B5" w:themeColor="accent1" w:themeShade="BF"/>
      <w:sz w:val="31"/>
      <w:szCs w:val="31"/>
      <w:lang w:eastAsia="en-US"/>
    </w:rPr>
  </w:style>
  <w:style w:type="paragraph" w:styleId="ListParagraph">
    <w:name w:val="List Paragraph"/>
    <w:basedOn w:val="Normal"/>
    <w:uiPriority w:val="34"/>
    <w:qFormat/>
    <w:rsid w:val="0037406A"/>
    <w:pPr>
      <w:ind w:left="720"/>
      <w:contextualSpacing/>
    </w:pPr>
  </w:style>
  <w:style w:type="table" w:styleId="TableGrid">
    <w:name w:val="Table Grid"/>
    <w:basedOn w:val="TableNormal"/>
    <w:uiPriority w:val="39"/>
    <w:rsid w:val="003740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Poston, Janice L.</dc:creator>
  <cp:keywords/>
  <dc:description/>
  <cp:lastModifiedBy>Poston, Janice L.</cp:lastModifiedBy>
  <cp:revision>1</cp:revision>
  <dcterms:created xsi:type="dcterms:W3CDTF">2018-07-17T14:17:00Z</dcterms:created>
  <dcterms:modified xsi:type="dcterms:W3CDTF">2018-07-17T14:18:00Z</dcterms:modified>
</cp:coreProperties>
</file>